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C1" w:rsidRPr="00ED46FA" w:rsidRDefault="00B43EC1" w:rsidP="00B43EC1">
      <w:pPr>
        <w:spacing w:after="120" w:line="276" w:lineRule="auto"/>
        <w:jc w:val="center"/>
        <w:rPr>
          <w:rFonts w:ascii="TeleNeo Office" w:eastAsia="Arial" w:hAnsi="TeleNeo Office" w:cs="Arial"/>
          <w:b/>
          <w:sz w:val="28"/>
          <w:szCs w:val="28"/>
        </w:rPr>
      </w:pPr>
      <w:r w:rsidRPr="00ED46FA">
        <w:rPr>
          <w:rFonts w:ascii="TeleNeo Office" w:eastAsia="Arial" w:hAnsi="TeleNeo Office" w:cs="Arial"/>
          <w:b/>
          <w:sz w:val="28"/>
          <w:szCs w:val="28"/>
        </w:rPr>
        <w:t xml:space="preserve">Коментари на Македонски Телеком АД Скопје по </w:t>
      </w:r>
    </w:p>
    <w:p w:rsidR="00B43EC1" w:rsidRPr="00ED46FA" w:rsidRDefault="00B43EC1" w:rsidP="00B43EC1">
      <w:pPr>
        <w:spacing w:after="120" w:line="276" w:lineRule="auto"/>
        <w:jc w:val="center"/>
        <w:rPr>
          <w:rFonts w:ascii="TeleNeo Office" w:eastAsia="Arial" w:hAnsi="TeleNeo Office" w:cs="Arial"/>
          <w:b/>
          <w:sz w:val="28"/>
          <w:szCs w:val="28"/>
        </w:rPr>
      </w:pPr>
      <w:r w:rsidRPr="00ED46FA">
        <w:rPr>
          <w:rFonts w:ascii="TeleNeo Office" w:eastAsia="Arial" w:hAnsi="TeleNeo Office" w:cs="Arial"/>
          <w:b/>
          <w:sz w:val="28"/>
          <w:szCs w:val="28"/>
        </w:rPr>
        <w:t>предлог ЗАКОН ЗА БЕЗБЕДНОСТ НА МРЕЖНИ И ИНФОРМАЦИСКИ СИСТЕМИ И ДИГИТАЛНА ТРАНСФОРМАЦИЈА</w:t>
      </w:r>
    </w:p>
    <w:tbl>
      <w:tblPr>
        <w:tblStyle w:val="TableGrid"/>
        <w:tblW w:w="0" w:type="auto"/>
        <w:tblLayout w:type="fixed"/>
        <w:tblLook w:val="04A0" w:firstRow="1" w:lastRow="0" w:firstColumn="1" w:lastColumn="0" w:noHBand="0" w:noVBand="1"/>
      </w:tblPr>
      <w:tblGrid>
        <w:gridCol w:w="1838"/>
        <w:gridCol w:w="4961"/>
        <w:gridCol w:w="7149"/>
      </w:tblGrid>
      <w:tr w:rsidR="00B43EC1" w:rsidRPr="00ED46FA" w:rsidTr="00CF6108">
        <w:trPr>
          <w:trHeight w:val="3171"/>
        </w:trPr>
        <w:tc>
          <w:tcPr>
            <w:tcW w:w="1838" w:type="dxa"/>
          </w:tcPr>
          <w:p w:rsidR="00ED46FA" w:rsidRPr="00ED46FA" w:rsidRDefault="00ED46FA" w:rsidP="00ED46FA">
            <w:pPr>
              <w:pStyle w:val="Heading2"/>
              <w:spacing w:before="0" w:after="120"/>
              <w:jc w:val="center"/>
              <w:outlineLvl w:val="1"/>
              <w:rPr>
                <w:rFonts w:ascii="TeleNeo Office" w:eastAsia="Arial" w:hAnsi="TeleNeo Office" w:cs="Arial"/>
                <w:b/>
                <w:color w:val="000000"/>
                <w:sz w:val="22"/>
                <w:szCs w:val="22"/>
              </w:rPr>
            </w:pPr>
            <w:r w:rsidRPr="00ED46FA">
              <w:rPr>
                <w:rFonts w:ascii="TeleNeo Office" w:eastAsia="Arial" w:hAnsi="TeleNeo Office" w:cs="Arial"/>
                <w:b/>
                <w:color w:val="000000"/>
                <w:sz w:val="22"/>
                <w:szCs w:val="22"/>
              </w:rPr>
              <w:t>Цели</w:t>
            </w:r>
          </w:p>
          <w:p w:rsidR="00ED46FA" w:rsidRPr="00ED46FA" w:rsidRDefault="00ED46FA" w:rsidP="00ED46FA">
            <w:pPr>
              <w:pStyle w:val="Heading2"/>
              <w:spacing w:before="0" w:after="120"/>
              <w:jc w:val="center"/>
              <w:outlineLvl w:val="1"/>
              <w:rPr>
                <w:rFonts w:ascii="TeleNeo Office" w:eastAsia="Arial" w:hAnsi="TeleNeo Office" w:cs="Arial"/>
                <w:b/>
                <w:color w:val="000000"/>
                <w:sz w:val="22"/>
                <w:szCs w:val="22"/>
              </w:rPr>
            </w:pPr>
            <w:r w:rsidRPr="00ED46FA">
              <w:rPr>
                <w:rFonts w:ascii="TeleNeo Office" w:eastAsia="Arial" w:hAnsi="TeleNeo Office" w:cs="Arial"/>
                <w:b/>
                <w:color w:val="000000"/>
                <w:sz w:val="22"/>
                <w:szCs w:val="22"/>
              </w:rPr>
              <w:t>Член 2</w:t>
            </w:r>
          </w:p>
          <w:p w:rsidR="00B43EC1" w:rsidRPr="00ED46FA" w:rsidRDefault="00B43EC1" w:rsidP="00B43EC1">
            <w:pPr>
              <w:spacing w:after="120" w:line="276" w:lineRule="auto"/>
              <w:jc w:val="center"/>
              <w:rPr>
                <w:rFonts w:ascii="TeleNeo Office" w:eastAsia="Arial" w:hAnsi="TeleNeo Office" w:cs="Arial"/>
                <w:b/>
              </w:rPr>
            </w:pPr>
          </w:p>
        </w:tc>
        <w:tc>
          <w:tcPr>
            <w:tcW w:w="4961" w:type="dxa"/>
          </w:tcPr>
          <w:p w:rsidR="00ED46FA" w:rsidRPr="00ED46FA" w:rsidRDefault="00ED46FA" w:rsidP="00D43DAF">
            <w:pPr>
              <w:spacing w:after="120"/>
              <w:jc w:val="both"/>
              <w:rPr>
                <w:rFonts w:ascii="TeleNeo Office" w:eastAsia="Arial" w:hAnsi="TeleNeo Office" w:cs="Arial"/>
              </w:rPr>
            </w:pPr>
            <w:r w:rsidRPr="00ED46FA">
              <w:rPr>
                <w:rFonts w:ascii="TeleNeo Office" w:eastAsia="Arial" w:hAnsi="TeleNeo Office" w:cs="Arial"/>
              </w:rPr>
              <w:t>Цели на овој закон се обезбедување на:</w:t>
            </w:r>
          </w:p>
          <w:p w:rsidR="00ED46FA" w:rsidRPr="00ED46FA" w:rsidRDefault="00ED46FA" w:rsidP="00D43DAF">
            <w:pPr>
              <w:pStyle w:val="ListParagraph"/>
              <w:numPr>
                <w:ilvl w:val="0"/>
                <w:numId w:val="1"/>
              </w:numPr>
              <w:spacing w:after="120"/>
              <w:jc w:val="both"/>
              <w:rPr>
                <w:rFonts w:ascii="TeleNeo Office" w:eastAsia="Arial" w:hAnsi="TeleNeo Office" w:cs="Arial"/>
              </w:rPr>
            </w:pPr>
            <w:r w:rsidRPr="00ED46FA">
              <w:rPr>
                <w:rFonts w:ascii="TeleNeo Office" w:eastAsia="Arial" w:hAnsi="TeleNeo Office" w:cs="Arial"/>
              </w:rPr>
              <w:t>високо ниво на сајбер безбедност со цел заштита и понатамошен развој на општеството,</w:t>
            </w:r>
          </w:p>
          <w:p w:rsidR="00ED46FA" w:rsidRPr="00ED46FA" w:rsidRDefault="00ED46FA" w:rsidP="00D43DAF">
            <w:pPr>
              <w:pStyle w:val="ListParagraph"/>
              <w:numPr>
                <w:ilvl w:val="0"/>
                <w:numId w:val="1"/>
              </w:numPr>
              <w:spacing w:after="120"/>
              <w:jc w:val="both"/>
              <w:rPr>
                <w:rFonts w:ascii="TeleNeo Office" w:eastAsia="Arial" w:hAnsi="TeleNeo Office" w:cs="Arial"/>
              </w:rPr>
            </w:pPr>
            <w:r w:rsidRPr="00ED46FA">
              <w:rPr>
                <w:rFonts w:ascii="TeleNeo Office" w:eastAsia="Arial" w:hAnsi="TeleNeo Office" w:cs="Arial"/>
              </w:rPr>
              <w:t>градење и проширување на ИТ инфраструктурата, односно поефикасна и поефективна дигитална трансформација на јавниот сектор,</w:t>
            </w:r>
          </w:p>
          <w:p w:rsidR="00ED46FA" w:rsidRPr="00ED46FA" w:rsidRDefault="00ED46FA" w:rsidP="00D43DAF">
            <w:pPr>
              <w:pStyle w:val="ListParagraph"/>
              <w:numPr>
                <w:ilvl w:val="0"/>
                <w:numId w:val="1"/>
              </w:numPr>
              <w:spacing w:after="120"/>
              <w:jc w:val="both"/>
              <w:rPr>
                <w:rFonts w:ascii="TeleNeo Office" w:eastAsia="Arial" w:hAnsi="TeleNeo Office" w:cs="Arial"/>
              </w:rPr>
            </w:pPr>
            <w:r w:rsidRPr="00ED46FA">
              <w:rPr>
                <w:rFonts w:ascii="TeleNeo Office" w:eastAsia="Times New Roman" w:hAnsi="TeleNeo Office" w:cs="Arial"/>
                <w:color w:val="333333"/>
              </w:rPr>
              <w:t xml:space="preserve"> повисок степен на отвореност со цел да се обезбеди  развој на иновативни софтверски решенија,</w:t>
            </w:r>
          </w:p>
          <w:p w:rsidR="00B43EC1" w:rsidRPr="00ED46FA" w:rsidRDefault="00ED46FA" w:rsidP="00D43DAF">
            <w:pPr>
              <w:pStyle w:val="ListParagraph"/>
              <w:numPr>
                <w:ilvl w:val="0"/>
                <w:numId w:val="1"/>
              </w:numPr>
              <w:spacing w:after="120"/>
              <w:jc w:val="both"/>
              <w:rPr>
                <w:rFonts w:ascii="TeleNeo Office" w:eastAsia="Arial" w:hAnsi="TeleNeo Office" w:cs="Arial"/>
                <w:b/>
              </w:rPr>
            </w:pPr>
            <w:r w:rsidRPr="00ED46FA">
              <w:rPr>
                <w:rFonts w:ascii="TeleNeo Office" w:eastAsia="Times New Roman" w:hAnsi="TeleNeo Office" w:cs="Arial"/>
                <w:color w:val="333333"/>
              </w:rPr>
              <w:t>обуки за сајбер безбедност и дигитални вештини за вработените во јавниот сектор и граѓаните на Република Северна Македонија</w:t>
            </w:r>
          </w:p>
        </w:tc>
        <w:tc>
          <w:tcPr>
            <w:tcW w:w="7149" w:type="dxa"/>
          </w:tcPr>
          <w:p w:rsidR="00B43EC1" w:rsidRPr="007F00F4" w:rsidRDefault="007F00F4" w:rsidP="00D43DAF">
            <w:pPr>
              <w:jc w:val="both"/>
              <w:rPr>
                <w:rFonts w:ascii="TeleNeo Office" w:eastAsia="Arial" w:hAnsi="TeleNeo Office" w:cs="Arial"/>
                <w:b/>
              </w:rPr>
            </w:pPr>
            <w:r w:rsidRPr="007F00F4">
              <w:rPr>
                <w:rFonts w:ascii="TeleNeo Office" w:hAnsi="TeleNeo Office"/>
              </w:rPr>
              <w:t>Во ц</w:t>
            </w:r>
            <w:r w:rsidR="00ED46FA" w:rsidRPr="007F00F4">
              <w:rPr>
                <w:rFonts w:ascii="TeleNeo Office" w:hAnsi="TeleNeo Office"/>
              </w:rPr>
              <w:t xml:space="preserve">елите </w:t>
            </w:r>
            <w:r w:rsidRPr="007F00F4">
              <w:rPr>
                <w:rFonts w:ascii="TeleNeo Office" w:hAnsi="TeleNeo Office"/>
              </w:rPr>
              <w:t xml:space="preserve">на овој закон </w:t>
            </w:r>
            <w:r w:rsidR="00ED46FA" w:rsidRPr="007F00F4">
              <w:rPr>
                <w:rFonts w:ascii="TeleNeo Office" w:hAnsi="TeleNeo Office"/>
              </w:rPr>
              <w:t>акцент</w:t>
            </w:r>
            <w:r w:rsidRPr="007F00F4">
              <w:rPr>
                <w:rFonts w:ascii="TeleNeo Office" w:hAnsi="TeleNeo Office"/>
              </w:rPr>
              <w:t>от е поставен</w:t>
            </w:r>
            <w:r w:rsidR="00ED46FA" w:rsidRPr="007F00F4">
              <w:rPr>
                <w:rFonts w:ascii="TeleNeo Office" w:hAnsi="TeleNeo Office"/>
              </w:rPr>
              <w:t xml:space="preserve"> на јавниот сектор и генерално општеството и граѓаните.</w:t>
            </w:r>
            <w:r w:rsidRPr="007F00F4">
              <w:rPr>
                <w:rFonts w:ascii="TeleNeo Office" w:hAnsi="TeleNeo Office"/>
              </w:rPr>
              <w:t xml:space="preserve"> Понатамошното</w:t>
            </w:r>
            <w:r w:rsidR="00ED46FA" w:rsidRPr="007F00F4">
              <w:rPr>
                <w:rFonts w:ascii="TeleNeo Office" w:hAnsi="TeleNeo Office"/>
              </w:rPr>
              <w:t xml:space="preserve"> вклучувањето на индустрии</w:t>
            </w:r>
            <w:r w:rsidRPr="007F00F4">
              <w:rPr>
                <w:rFonts w:ascii="TeleNeo Office" w:hAnsi="TeleNeo Office"/>
              </w:rPr>
              <w:t>те</w:t>
            </w:r>
            <w:r w:rsidR="00ED46FA" w:rsidRPr="007F00F4">
              <w:rPr>
                <w:rFonts w:ascii="TeleNeo Office" w:hAnsi="TeleNeo Office"/>
              </w:rPr>
              <w:t xml:space="preserve"> </w:t>
            </w:r>
            <w:r w:rsidRPr="007F00F4">
              <w:rPr>
                <w:rFonts w:ascii="TeleNeo Office" w:hAnsi="TeleNeo Office"/>
              </w:rPr>
              <w:t>кои припаѓаат на</w:t>
            </w:r>
            <w:r w:rsidR="00ED46FA" w:rsidRPr="007F00F4">
              <w:rPr>
                <w:rFonts w:ascii="TeleNeo Office" w:hAnsi="TeleNeo Office"/>
              </w:rPr>
              <w:t xml:space="preserve"> приватниот сектор во понатамошните членови</w:t>
            </w:r>
            <w:r w:rsidRPr="007F00F4">
              <w:rPr>
                <w:rFonts w:ascii="TeleNeo Office" w:hAnsi="TeleNeo Office"/>
              </w:rPr>
              <w:t xml:space="preserve"> од законот </w:t>
            </w:r>
            <w:r>
              <w:rPr>
                <w:rFonts w:ascii="TeleNeo Office" w:hAnsi="TeleNeo Office"/>
              </w:rPr>
              <w:t xml:space="preserve">се чини дека </w:t>
            </w:r>
            <w:r w:rsidR="00ED46FA" w:rsidRPr="007F00F4">
              <w:rPr>
                <w:rFonts w:ascii="TeleNeo Office" w:hAnsi="TeleNeo Office"/>
              </w:rPr>
              <w:t>излегува од делокругот</w:t>
            </w:r>
            <w:r w:rsidR="00ED46FA" w:rsidRPr="007F00F4">
              <w:rPr>
                <w:rFonts w:ascii="TeleNeo Office" w:hAnsi="TeleNeo Office"/>
                <w:lang w:val="en-US"/>
              </w:rPr>
              <w:t xml:space="preserve"> </w:t>
            </w:r>
            <w:r w:rsidR="00ED46FA" w:rsidRPr="007F00F4">
              <w:rPr>
                <w:rFonts w:ascii="TeleNeo Office" w:hAnsi="TeleNeo Office"/>
              </w:rPr>
              <w:t>на овие цели.</w:t>
            </w:r>
            <w:r w:rsidR="00ED46FA" w:rsidRPr="007F00F4">
              <w:rPr>
                <w:rFonts w:ascii="TeleNeo Office" w:hAnsi="TeleNeo Office"/>
                <w:lang w:val="en-US"/>
              </w:rPr>
              <w:t xml:space="preserve"> </w:t>
            </w:r>
          </w:p>
        </w:tc>
      </w:tr>
      <w:tr w:rsidR="00B43EC1" w:rsidRPr="00ED46FA" w:rsidTr="00CF6108">
        <w:tc>
          <w:tcPr>
            <w:tcW w:w="1838" w:type="dxa"/>
          </w:tcPr>
          <w:p w:rsidR="00D43DAF" w:rsidRPr="00D43DAF" w:rsidRDefault="00D43DAF" w:rsidP="00D43DAF">
            <w:pPr>
              <w:spacing w:after="120" w:line="276" w:lineRule="auto"/>
              <w:jc w:val="center"/>
              <w:rPr>
                <w:rFonts w:ascii="TeleNeo Office" w:eastAsia="Arial" w:hAnsi="TeleNeo Office" w:cs="Arial"/>
                <w:b/>
              </w:rPr>
            </w:pPr>
            <w:r w:rsidRPr="00D43DAF">
              <w:rPr>
                <w:rFonts w:ascii="TeleNeo Office" w:eastAsia="Arial" w:hAnsi="TeleNeo Office" w:cs="Arial"/>
                <w:b/>
              </w:rPr>
              <w:t>Дефиниции</w:t>
            </w:r>
          </w:p>
          <w:p w:rsidR="00B43EC1" w:rsidRPr="00ED46FA" w:rsidRDefault="00D43DAF" w:rsidP="00D43DAF">
            <w:pPr>
              <w:spacing w:after="120" w:line="276" w:lineRule="auto"/>
              <w:jc w:val="center"/>
              <w:rPr>
                <w:rFonts w:ascii="TeleNeo Office" w:eastAsia="Arial" w:hAnsi="TeleNeo Office" w:cs="Arial"/>
                <w:b/>
              </w:rPr>
            </w:pPr>
            <w:r w:rsidRPr="00D43DAF">
              <w:rPr>
                <w:rFonts w:ascii="TeleNeo Office" w:eastAsia="Arial" w:hAnsi="TeleNeo Office" w:cs="Arial"/>
                <w:b/>
              </w:rPr>
              <w:t>Член 3</w:t>
            </w:r>
          </w:p>
        </w:tc>
        <w:tc>
          <w:tcPr>
            <w:tcW w:w="4961" w:type="dxa"/>
          </w:tcPr>
          <w:p w:rsidR="00F93683" w:rsidRDefault="00F93683" w:rsidP="00F93683">
            <w:pPr>
              <w:spacing w:after="120" w:line="276" w:lineRule="auto"/>
              <w:rPr>
                <w:rFonts w:ascii="TeleNeo Office" w:eastAsia="Arial" w:hAnsi="TeleNeo Office" w:cs="Arial"/>
              </w:rPr>
            </w:pPr>
            <w:r>
              <w:rPr>
                <w:rFonts w:ascii="TeleNeo Office" w:eastAsia="Arial" w:hAnsi="TeleNeo Office" w:cs="Arial"/>
                <w:lang w:val="en-US"/>
              </w:rPr>
              <w:t>“O</w:t>
            </w:r>
            <w:r w:rsidRPr="00ED46FA">
              <w:rPr>
                <w:rFonts w:ascii="TeleNeo Office" w:eastAsia="Arial" w:hAnsi="TeleNeo Office" w:cs="Arial"/>
              </w:rPr>
              <w:t>ператори на суштински услуги</w:t>
            </w:r>
            <w:r>
              <w:rPr>
                <w:rFonts w:ascii="TeleNeo Office" w:eastAsia="Arial" w:hAnsi="TeleNeo Office" w:cs="Arial"/>
                <w:lang w:val="en-US"/>
              </w:rPr>
              <w:t>”</w:t>
            </w:r>
          </w:p>
          <w:p w:rsidR="00B43EC1" w:rsidRPr="00ED46FA" w:rsidRDefault="00F93683" w:rsidP="00F93683">
            <w:pPr>
              <w:spacing w:after="120" w:line="276" w:lineRule="auto"/>
              <w:rPr>
                <w:rFonts w:ascii="TeleNeo Office" w:eastAsia="Arial" w:hAnsi="TeleNeo Office" w:cs="Arial"/>
                <w:b/>
              </w:rPr>
            </w:pPr>
            <w:r>
              <w:rPr>
                <w:rFonts w:ascii="TeleNeo Office" w:eastAsia="Arial" w:hAnsi="TeleNeo Office" w:cs="Arial"/>
                <w:lang w:val="en-US"/>
              </w:rPr>
              <w:t>“O</w:t>
            </w:r>
            <w:r w:rsidRPr="00ED46FA">
              <w:rPr>
                <w:rFonts w:ascii="TeleNeo Office" w:eastAsia="Arial" w:hAnsi="TeleNeo Office" w:cs="Arial"/>
              </w:rPr>
              <w:t>ператори на важни услуги’’</w:t>
            </w:r>
          </w:p>
        </w:tc>
        <w:tc>
          <w:tcPr>
            <w:tcW w:w="7149" w:type="dxa"/>
          </w:tcPr>
          <w:p w:rsidR="007F00F4" w:rsidRDefault="00ED46FA" w:rsidP="00FD7C31">
            <w:pPr>
              <w:jc w:val="both"/>
              <w:rPr>
                <w:rFonts w:ascii="TeleNeo Office" w:eastAsia="Arial" w:hAnsi="TeleNeo Office" w:cs="Arial"/>
              </w:rPr>
            </w:pPr>
            <w:r w:rsidRPr="00ED46FA">
              <w:rPr>
                <w:rFonts w:ascii="TeleNeo Office" w:eastAsia="Arial" w:hAnsi="TeleNeo Office" w:cs="Arial"/>
              </w:rPr>
              <w:t xml:space="preserve">Во законот за првпат се </w:t>
            </w:r>
            <w:r w:rsidR="007F00F4">
              <w:rPr>
                <w:rFonts w:ascii="TeleNeo Office" w:eastAsia="Arial" w:hAnsi="TeleNeo Office" w:cs="Arial"/>
              </w:rPr>
              <w:t>воведуваат</w:t>
            </w:r>
            <w:r w:rsidRPr="00ED46FA">
              <w:rPr>
                <w:rFonts w:ascii="TeleNeo Office" w:eastAsia="Arial" w:hAnsi="TeleNeo Office" w:cs="Arial"/>
              </w:rPr>
              <w:t xml:space="preserve"> нов</w:t>
            </w:r>
            <w:r w:rsidR="00ED6581">
              <w:rPr>
                <w:rFonts w:ascii="TeleNeo Office" w:eastAsia="Arial" w:hAnsi="TeleNeo Office" w:cs="Arial"/>
              </w:rPr>
              <w:t xml:space="preserve">о </w:t>
            </w:r>
            <w:r w:rsidRPr="00ED46FA">
              <w:rPr>
                <w:rFonts w:ascii="TeleNeo Office" w:eastAsia="Arial" w:hAnsi="TeleNeo Office" w:cs="Arial"/>
              </w:rPr>
              <w:t>к</w:t>
            </w:r>
            <w:r>
              <w:rPr>
                <w:rFonts w:ascii="TeleNeo Office" w:eastAsia="Arial" w:hAnsi="TeleNeo Office" w:cs="Arial"/>
              </w:rPr>
              <w:t>а</w:t>
            </w:r>
            <w:r w:rsidRPr="00ED46FA">
              <w:rPr>
                <w:rFonts w:ascii="TeleNeo Office" w:eastAsia="Arial" w:hAnsi="TeleNeo Office" w:cs="Arial"/>
              </w:rPr>
              <w:t>рактизирање на правните лица како</w:t>
            </w:r>
            <w:r w:rsidR="00FD7C31">
              <w:rPr>
                <w:rFonts w:ascii="TeleNeo Office" w:eastAsia="Arial" w:hAnsi="TeleNeo Office" w:cs="Arial"/>
              </w:rPr>
              <w:t xml:space="preserve"> </w:t>
            </w:r>
            <w:r w:rsidRPr="00ED46FA">
              <w:rPr>
                <w:rFonts w:ascii="TeleNeo Office" w:eastAsia="Arial" w:hAnsi="TeleNeo Office" w:cs="Arial"/>
              </w:rPr>
              <w:t>’’оператори на суштински услуги</w:t>
            </w:r>
            <w:r w:rsidR="00D43DAF">
              <w:rPr>
                <w:rFonts w:ascii="TeleNeo Office" w:eastAsia="Arial" w:hAnsi="TeleNeo Office" w:cs="Arial"/>
                <w:lang w:val="en-US"/>
              </w:rPr>
              <w:t>”</w:t>
            </w:r>
            <w:r w:rsidRPr="00ED46FA">
              <w:rPr>
                <w:rFonts w:ascii="TeleNeo Office" w:eastAsia="Arial" w:hAnsi="TeleNeo Office" w:cs="Arial"/>
              </w:rPr>
              <w:t xml:space="preserve"> </w:t>
            </w:r>
            <w:r w:rsidR="00D43DAF">
              <w:rPr>
                <w:rFonts w:ascii="TeleNeo Office" w:eastAsia="Arial" w:hAnsi="TeleNeo Office" w:cs="Arial"/>
              </w:rPr>
              <w:t xml:space="preserve">и </w:t>
            </w:r>
            <w:r w:rsidR="00D43DAF">
              <w:rPr>
                <w:rFonts w:ascii="TeleNeo Office" w:eastAsia="Arial" w:hAnsi="TeleNeo Office" w:cs="Arial"/>
                <w:lang w:val="en-US"/>
              </w:rPr>
              <w:t>“</w:t>
            </w:r>
            <w:r w:rsidRPr="00ED46FA">
              <w:rPr>
                <w:rFonts w:ascii="TeleNeo Office" w:eastAsia="Arial" w:hAnsi="TeleNeo Office" w:cs="Arial"/>
              </w:rPr>
              <w:t>оператори на важни услуги’’ без да се обебеди дефиниција</w:t>
            </w:r>
            <w:r w:rsidR="007F00F4">
              <w:rPr>
                <w:rFonts w:ascii="TeleNeo Office" w:eastAsia="Arial" w:hAnsi="TeleNeo Office" w:cs="Arial"/>
              </w:rPr>
              <w:t xml:space="preserve"> за тоа што се подразбира под овие категории.</w:t>
            </w:r>
            <w:r w:rsidRPr="00ED46FA">
              <w:rPr>
                <w:rFonts w:ascii="TeleNeo Office" w:eastAsia="Arial" w:hAnsi="TeleNeo Office" w:cs="Arial"/>
              </w:rPr>
              <w:t xml:space="preserve"> </w:t>
            </w:r>
          </w:p>
          <w:p w:rsidR="007F00F4" w:rsidRDefault="007F00F4" w:rsidP="00FD7C31">
            <w:pPr>
              <w:jc w:val="both"/>
              <w:rPr>
                <w:rFonts w:ascii="TeleNeo Office" w:eastAsia="Arial" w:hAnsi="TeleNeo Office" w:cs="Arial"/>
              </w:rPr>
            </w:pPr>
            <w:r>
              <w:rPr>
                <w:rFonts w:ascii="TeleNeo Office" w:eastAsia="Arial" w:hAnsi="TeleNeo Office" w:cs="Arial"/>
              </w:rPr>
              <w:t>С</w:t>
            </w:r>
            <w:r w:rsidR="00ED46FA" w:rsidRPr="00ED46FA">
              <w:rPr>
                <w:rFonts w:ascii="TeleNeo Office" w:eastAsia="Arial" w:hAnsi="TeleNeo Office" w:cs="Arial"/>
              </w:rPr>
              <w:t xml:space="preserve">о оглед дека овие називи и групи не се познати </w:t>
            </w:r>
            <w:r>
              <w:rPr>
                <w:rFonts w:ascii="TeleNeo Office" w:eastAsia="Arial" w:hAnsi="TeleNeo Office" w:cs="Arial"/>
              </w:rPr>
              <w:t>потребно е нивно дефинирање и прецизирање</w:t>
            </w:r>
            <w:r w:rsidR="00ED46FA" w:rsidRPr="00ED46FA">
              <w:rPr>
                <w:rFonts w:ascii="TeleNeo Office" w:eastAsia="Arial" w:hAnsi="TeleNeo Office" w:cs="Arial"/>
              </w:rPr>
              <w:t>.</w:t>
            </w:r>
          </w:p>
          <w:p w:rsidR="00ED46FA" w:rsidRPr="00ED46FA" w:rsidRDefault="00ED46FA" w:rsidP="0095612A">
            <w:pPr>
              <w:jc w:val="both"/>
              <w:rPr>
                <w:rFonts w:ascii="TeleNeo Office" w:eastAsia="Arial" w:hAnsi="TeleNeo Office" w:cs="Arial"/>
              </w:rPr>
            </w:pPr>
            <w:r w:rsidRPr="00ED46FA">
              <w:rPr>
                <w:rFonts w:ascii="TeleNeo Office" w:eastAsia="Arial" w:hAnsi="TeleNeo Office" w:cs="Arial"/>
              </w:rPr>
              <w:t xml:space="preserve">Освен овие дефиниции </w:t>
            </w:r>
            <w:r w:rsidR="007F00F4" w:rsidRPr="00ED46FA">
              <w:rPr>
                <w:rFonts w:ascii="TeleNeo Office" w:eastAsia="Arial" w:hAnsi="TeleNeo Office" w:cs="Arial"/>
              </w:rPr>
              <w:t>потребно</w:t>
            </w:r>
            <w:r w:rsidR="007F00F4">
              <w:rPr>
                <w:rFonts w:ascii="TeleNeo Office" w:eastAsia="Arial" w:hAnsi="TeleNeo Office" w:cs="Arial"/>
              </w:rPr>
              <w:t xml:space="preserve"> е </w:t>
            </w:r>
            <w:r w:rsidR="000A3387">
              <w:rPr>
                <w:rFonts w:ascii="TeleNeo Office" w:eastAsia="Arial" w:hAnsi="TeleNeo Office" w:cs="Arial"/>
              </w:rPr>
              <w:t>з</w:t>
            </w:r>
            <w:r w:rsidRPr="00ED46FA">
              <w:rPr>
                <w:rFonts w:ascii="TeleNeo Office" w:eastAsia="Arial" w:hAnsi="TeleNeo Office" w:cs="Arial"/>
              </w:rPr>
              <w:t>аконодавецот да предвиди и дефиниции за одредени градации со цел</w:t>
            </w:r>
            <w:r w:rsidR="007F00F4">
              <w:rPr>
                <w:rFonts w:ascii="TeleNeo Office" w:eastAsia="Arial" w:hAnsi="TeleNeo Office" w:cs="Arial"/>
              </w:rPr>
              <w:t xml:space="preserve"> </w:t>
            </w:r>
            <w:r w:rsidRPr="00ED46FA">
              <w:rPr>
                <w:rFonts w:ascii="TeleNeo Office" w:eastAsia="Arial" w:hAnsi="TeleNeo Office" w:cs="Arial"/>
              </w:rPr>
              <w:t xml:space="preserve">обврските </w:t>
            </w:r>
            <w:r w:rsidR="007F00F4">
              <w:rPr>
                <w:rFonts w:ascii="TeleNeo Office" w:eastAsia="Arial" w:hAnsi="TeleNeo Office" w:cs="Arial"/>
              </w:rPr>
              <w:t xml:space="preserve">на субјектите </w:t>
            </w:r>
            <w:r w:rsidRPr="00ED46FA">
              <w:rPr>
                <w:rFonts w:ascii="TeleNeo Office" w:eastAsia="Arial" w:hAnsi="TeleNeo Office" w:cs="Arial"/>
              </w:rPr>
              <w:t>да бидат конкретни и јасни.</w:t>
            </w:r>
            <w:r w:rsidR="007F00F4">
              <w:rPr>
                <w:rFonts w:ascii="TeleNeo Office" w:eastAsia="Arial" w:hAnsi="TeleNeo Office" w:cs="Arial"/>
              </w:rPr>
              <w:t xml:space="preserve"> Така р</w:t>
            </w:r>
            <w:r w:rsidRPr="00ED46FA">
              <w:rPr>
                <w:rFonts w:ascii="TeleNeo Office" w:eastAsia="Arial" w:hAnsi="TeleNeo Office" w:cs="Arial"/>
              </w:rPr>
              <w:t xml:space="preserve">евидираната </w:t>
            </w:r>
            <w:r w:rsidR="007F00F4">
              <w:rPr>
                <w:rFonts w:ascii="TeleNeo Office" w:eastAsia="Arial" w:hAnsi="TeleNeo Office" w:cs="Arial"/>
              </w:rPr>
              <w:t xml:space="preserve">ЕУ </w:t>
            </w:r>
            <w:r w:rsidRPr="00ED46FA">
              <w:rPr>
                <w:rFonts w:ascii="TeleNeo Office" w:eastAsia="Arial" w:hAnsi="TeleNeo Office" w:cs="Arial"/>
              </w:rPr>
              <w:t>директива ги класифицира субјектите кои работат во секторите опфатени со NIS2 во</w:t>
            </w:r>
            <w:r w:rsidR="000A3387">
              <w:rPr>
                <w:rFonts w:ascii="TeleNeo Office" w:eastAsia="Arial" w:hAnsi="TeleNeo Office" w:cs="Arial"/>
              </w:rPr>
              <w:t xml:space="preserve"> </w:t>
            </w:r>
            <w:r w:rsidRPr="00ED46FA">
              <w:rPr>
                <w:rFonts w:ascii="TeleNeo Office" w:eastAsia="Arial" w:hAnsi="TeleNeo Office" w:cs="Arial"/>
              </w:rPr>
              <w:t>две категории</w:t>
            </w:r>
            <w:r w:rsidR="007F00F4">
              <w:rPr>
                <w:rFonts w:ascii="TeleNeo Office" w:eastAsia="Arial" w:hAnsi="TeleNeo Office" w:cs="Arial"/>
                <w:lang w:val="en-US"/>
              </w:rPr>
              <w:t>:</w:t>
            </w:r>
            <w:r w:rsidRPr="00ED46FA">
              <w:rPr>
                <w:rFonts w:ascii="TeleNeo Office" w:eastAsia="Arial" w:hAnsi="TeleNeo Office" w:cs="Arial"/>
              </w:rPr>
              <w:t xml:space="preserve"> суштински и важни. Оваа поделба се заснова на критичнос</w:t>
            </w:r>
            <w:r w:rsidR="0027157A">
              <w:rPr>
                <w:rFonts w:ascii="TeleNeo Office" w:eastAsia="Arial" w:hAnsi="TeleNeo Office" w:cs="Arial"/>
              </w:rPr>
              <w:t xml:space="preserve">т на субјектите од аспект на </w:t>
            </w:r>
            <w:r w:rsidR="0027157A" w:rsidRPr="0027157A">
              <w:rPr>
                <w:rFonts w:ascii="TeleNeo Office" w:eastAsia="Arial" w:hAnsi="TeleNeo Office" w:cs="Arial"/>
              </w:rPr>
              <w:t>сајбер безбедност</w:t>
            </w:r>
            <w:r w:rsidRPr="00ED46FA">
              <w:rPr>
                <w:rFonts w:ascii="TeleNeo Office" w:eastAsia="Arial" w:hAnsi="TeleNeo Office" w:cs="Arial"/>
              </w:rPr>
              <w:t xml:space="preserve"> кои работат во опфатените сектори, како и степенот на зависност од други</w:t>
            </w:r>
            <w:r w:rsidR="000A3387">
              <w:rPr>
                <w:rFonts w:ascii="TeleNeo Office" w:eastAsia="Arial" w:hAnsi="TeleNeo Office" w:cs="Arial"/>
              </w:rPr>
              <w:t xml:space="preserve"> </w:t>
            </w:r>
            <w:r w:rsidRPr="00ED46FA">
              <w:rPr>
                <w:rFonts w:ascii="TeleNeo Office" w:eastAsia="Arial" w:hAnsi="TeleNeo Office" w:cs="Arial"/>
              </w:rPr>
              <w:t xml:space="preserve">сектори или услуги на </w:t>
            </w:r>
            <w:r w:rsidR="000A3387">
              <w:rPr>
                <w:rFonts w:ascii="TeleNeo Office" w:eastAsia="Arial" w:hAnsi="TeleNeo Office" w:cs="Arial"/>
              </w:rPr>
              <w:t>специфичниот</w:t>
            </w:r>
            <w:r w:rsidRPr="00ED46FA">
              <w:rPr>
                <w:rFonts w:ascii="TeleNeo Office" w:eastAsia="Arial" w:hAnsi="TeleNeo Office" w:cs="Arial"/>
              </w:rPr>
              <w:t xml:space="preserve"> сектор.</w:t>
            </w:r>
          </w:p>
          <w:p w:rsidR="00ED46FA" w:rsidRPr="00823AB5" w:rsidRDefault="000A3387" w:rsidP="0095612A">
            <w:pPr>
              <w:jc w:val="both"/>
              <w:rPr>
                <w:rFonts w:ascii="TeleNeo Office" w:eastAsia="Arial" w:hAnsi="TeleNeo Office" w:cs="Arial"/>
                <w:lang w:val="en-US"/>
              </w:rPr>
            </w:pPr>
            <w:r>
              <w:rPr>
                <w:rFonts w:ascii="TeleNeo Office" w:eastAsia="Arial" w:hAnsi="TeleNeo Office" w:cs="Arial"/>
              </w:rPr>
              <w:t>П</w:t>
            </w:r>
            <w:r w:rsidR="00ED46FA" w:rsidRPr="00ED46FA">
              <w:rPr>
                <w:rFonts w:ascii="TeleNeo Office" w:eastAsia="Arial" w:hAnsi="TeleNeo Office" w:cs="Arial"/>
              </w:rPr>
              <w:t xml:space="preserve">о правило, сите </w:t>
            </w:r>
            <w:r w:rsidR="00FD7C31" w:rsidRPr="00ED46FA">
              <w:rPr>
                <w:rFonts w:ascii="TeleNeo Office" w:eastAsia="Arial" w:hAnsi="TeleNeo Office" w:cs="Arial"/>
              </w:rPr>
              <w:t>средн</w:t>
            </w:r>
            <w:r w:rsidR="00FD7C31">
              <w:rPr>
                <w:rFonts w:ascii="TeleNeo Office" w:eastAsia="Arial" w:hAnsi="TeleNeo Office" w:cs="Arial"/>
              </w:rPr>
              <w:t>и</w:t>
            </w:r>
            <w:r w:rsidR="00FD7C31" w:rsidRPr="00ED46FA">
              <w:rPr>
                <w:rFonts w:ascii="TeleNeo Office" w:eastAsia="Arial" w:hAnsi="TeleNeo Office" w:cs="Arial"/>
              </w:rPr>
              <w:t xml:space="preserve"> и голем</w:t>
            </w:r>
            <w:r w:rsidR="00FD7C31">
              <w:rPr>
                <w:rFonts w:ascii="TeleNeo Office" w:eastAsia="Arial" w:hAnsi="TeleNeo Office" w:cs="Arial"/>
              </w:rPr>
              <w:t>и</w:t>
            </w:r>
            <w:r w:rsidR="00FD7C31" w:rsidRPr="00ED46FA">
              <w:rPr>
                <w:rFonts w:ascii="TeleNeo Office" w:eastAsia="Arial" w:hAnsi="TeleNeo Office" w:cs="Arial"/>
              </w:rPr>
              <w:t xml:space="preserve"> </w:t>
            </w:r>
            <w:r w:rsidR="00ED46FA" w:rsidRPr="00ED46FA">
              <w:rPr>
                <w:rFonts w:ascii="TeleNeo Office" w:eastAsia="Arial" w:hAnsi="TeleNeo Office" w:cs="Arial"/>
              </w:rPr>
              <w:t>субјекти ќе мора да се усогласат со безбеднос</w:t>
            </w:r>
            <w:r>
              <w:rPr>
                <w:rFonts w:ascii="TeleNeo Office" w:eastAsia="Arial" w:hAnsi="TeleNeo Office" w:cs="Arial"/>
              </w:rPr>
              <w:t xml:space="preserve">ните правила </w:t>
            </w:r>
            <w:r w:rsidR="00ED46FA" w:rsidRPr="00ED46FA">
              <w:rPr>
                <w:rFonts w:ascii="TeleNeo Office" w:eastAsia="Arial" w:hAnsi="TeleNeo Office" w:cs="Arial"/>
              </w:rPr>
              <w:t xml:space="preserve"> </w:t>
            </w:r>
            <w:r w:rsidRPr="00ED46FA">
              <w:rPr>
                <w:rFonts w:ascii="TeleNeo Office" w:eastAsia="Arial" w:hAnsi="TeleNeo Office" w:cs="Arial"/>
              </w:rPr>
              <w:t xml:space="preserve">за управување со ризик и известување </w:t>
            </w:r>
            <w:r w:rsidR="00ED46FA" w:rsidRPr="00ED46FA">
              <w:rPr>
                <w:rFonts w:ascii="TeleNeo Office" w:eastAsia="Arial" w:hAnsi="TeleNeo Office" w:cs="Arial"/>
              </w:rPr>
              <w:t>на NIS2</w:t>
            </w:r>
            <w:r>
              <w:rPr>
                <w:rFonts w:ascii="TeleNeo Office" w:eastAsia="Arial" w:hAnsi="TeleNeo Office" w:cs="Arial"/>
              </w:rPr>
              <w:t xml:space="preserve"> директивата</w:t>
            </w:r>
            <w:r w:rsidR="00ED46FA" w:rsidRPr="00ED46FA">
              <w:rPr>
                <w:rFonts w:ascii="TeleNeo Office" w:eastAsia="Arial" w:hAnsi="TeleNeo Office" w:cs="Arial"/>
              </w:rPr>
              <w:t>. Сепак,</w:t>
            </w:r>
            <w:r>
              <w:rPr>
                <w:rFonts w:ascii="TeleNeo Office" w:eastAsia="Arial" w:hAnsi="TeleNeo Office" w:cs="Arial"/>
              </w:rPr>
              <w:t xml:space="preserve"> </w:t>
            </w:r>
            <w:r w:rsidR="00ED46FA" w:rsidRPr="00ED46FA">
              <w:rPr>
                <w:rFonts w:ascii="TeleNeo Office" w:eastAsia="Arial" w:hAnsi="TeleNeo Office" w:cs="Arial"/>
              </w:rPr>
              <w:t>директивата ја прилагод</w:t>
            </w:r>
            <w:r>
              <w:rPr>
                <w:rFonts w:ascii="TeleNeo Office" w:eastAsia="Arial" w:hAnsi="TeleNeo Office" w:cs="Arial"/>
              </w:rPr>
              <w:t>ува</w:t>
            </w:r>
            <w:r w:rsidR="00ED46FA" w:rsidRPr="00ED46FA">
              <w:rPr>
                <w:rFonts w:ascii="TeleNeo Office" w:eastAsia="Arial" w:hAnsi="TeleNeo Office" w:cs="Arial"/>
              </w:rPr>
              <w:t xml:space="preserve"> класификацијата</w:t>
            </w:r>
            <w:r>
              <w:rPr>
                <w:rFonts w:ascii="TeleNeo Office" w:eastAsia="Arial" w:hAnsi="TeleNeo Office" w:cs="Arial"/>
              </w:rPr>
              <w:t xml:space="preserve"> </w:t>
            </w:r>
            <w:r w:rsidR="00ED46FA" w:rsidRPr="00ED46FA">
              <w:rPr>
                <w:rFonts w:ascii="TeleNeo Office" w:eastAsia="Arial" w:hAnsi="TeleNeo Office" w:cs="Arial"/>
              </w:rPr>
              <w:t>на суштински и важни ентитети врз основа на нивната големина.</w:t>
            </w:r>
          </w:p>
          <w:p w:rsidR="00ED46FA" w:rsidRDefault="000A3387" w:rsidP="0095612A">
            <w:pPr>
              <w:jc w:val="both"/>
              <w:rPr>
                <w:rFonts w:ascii="TeleNeo Office" w:eastAsia="Arial" w:hAnsi="TeleNeo Office" w:cs="Arial"/>
              </w:rPr>
            </w:pPr>
            <w:r>
              <w:rPr>
                <w:rFonts w:ascii="TeleNeo Office" w:eastAsia="Arial" w:hAnsi="TeleNeo Office" w:cs="Arial"/>
              </w:rPr>
              <w:lastRenderedPageBreak/>
              <w:t>С</w:t>
            </w:r>
            <w:r w:rsidR="00ED46FA" w:rsidRPr="00ED46FA">
              <w:rPr>
                <w:rFonts w:ascii="TeleNeo Office" w:eastAsia="Arial" w:hAnsi="TeleNeo Office" w:cs="Arial"/>
              </w:rPr>
              <w:t>редн</w:t>
            </w:r>
            <w:r>
              <w:rPr>
                <w:rFonts w:ascii="TeleNeo Office" w:eastAsia="Arial" w:hAnsi="TeleNeo Office" w:cs="Arial"/>
              </w:rPr>
              <w:t xml:space="preserve">о големите </w:t>
            </w:r>
            <w:r w:rsidR="00ED46FA" w:rsidRPr="00ED46FA">
              <w:rPr>
                <w:rFonts w:ascii="TeleNeo Office" w:eastAsia="Arial" w:hAnsi="TeleNeo Office" w:cs="Arial"/>
              </w:rPr>
              <w:t xml:space="preserve"> и голем</w:t>
            </w:r>
            <w:r>
              <w:rPr>
                <w:rFonts w:ascii="TeleNeo Office" w:eastAsia="Arial" w:hAnsi="TeleNeo Office" w:cs="Arial"/>
              </w:rPr>
              <w:t>ите</w:t>
            </w:r>
            <w:r w:rsidR="00ED46FA" w:rsidRPr="00ED46FA">
              <w:rPr>
                <w:rFonts w:ascii="TeleNeo Office" w:eastAsia="Arial" w:hAnsi="TeleNeo Office" w:cs="Arial"/>
              </w:rPr>
              <w:t xml:space="preserve"> </w:t>
            </w:r>
            <w:r>
              <w:rPr>
                <w:rFonts w:ascii="TeleNeo Office" w:eastAsia="Arial" w:hAnsi="TeleNeo Office" w:cs="Arial"/>
              </w:rPr>
              <w:t>с</w:t>
            </w:r>
            <w:r w:rsidRPr="00ED46FA">
              <w:rPr>
                <w:rFonts w:ascii="TeleNeo Office" w:eastAsia="Arial" w:hAnsi="TeleNeo Office" w:cs="Arial"/>
              </w:rPr>
              <w:t xml:space="preserve">убјекти </w:t>
            </w:r>
            <w:r w:rsidR="00ED46FA" w:rsidRPr="00ED46FA">
              <w:rPr>
                <w:rFonts w:ascii="TeleNeo Office" w:eastAsia="Arial" w:hAnsi="TeleNeo Office" w:cs="Arial"/>
              </w:rPr>
              <w:t>би се дефинирале според бројот на вработени</w:t>
            </w:r>
            <w:r>
              <w:rPr>
                <w:rFonts w:ascii="TeleNeo Office" w:eastAsia="Arial" w:hAnsi="TeleNeo Office" w:cs="Arial"/>
              </w:rPr>
              <w:t xml:space="preserve"> </w:t>
            </w:r>
            <w:r w:rsidR="00ED46FA" w:rsidRPr="00ED46FA">
              <w:rPr>
                <w:rFonts w:ascii="TeleNeo Office" w:eastAsia="Arial" w:hAnsi="TeleNeo Office" w:cs="Arial"/>
              </w:rPr>
              <w:t xml:space="preserve">и нивниот годишен обрт по </w:t>
            </w:r>
            <w:r>
              <w:rPr>
                <w:rFonts w:ascii="TeleNeo Office" w:eastAsia="Arial" w:hAnsi="TeleNeo Office" w:cs="Arial"/>
              </w:rPr>
              <w:t>п</w:t>
            </w:r>
            <w:r w:rsidR="00ED46FA" w:rsidRPr="00ED46FA">
              <w:rPr>
                <w:rFonts w:ascii="TeleNeo Office" w:eastAsia="Arial" w:hAnsi="TeleNeo Office" w:cs="Arial"/>
              </w:rPr>
              <w:t xml:space="preserve">репораката на </w:t>
            </w:r>
            <w:r>
              <w:rPr>
                <w:rFonts w:ascii="TeleNeo Office" w:eastAsia="Arial" w:hAnsi="TeleNeo Office" w:cs="Arial"/>
              </w:rPr>
              <w:t xml:space="preserve">ЕУ </w:t>
            </w:r>
            <w:r w:rsidR="00ED46FA" w:rsidRPr="00ED46FA">
              <w:rPr>
                <w:rFonts w:ascii="TeleNeo Office" w:eastAsia="Arial" w:hAnsi="TeleNeo Office" w:cs="Arial"/>
              </w:rPr>
              <w:t>Комисијата 2003/361/Е</w:t>
            </w:r>
            <w:r>
              <w:rPr>
                <w:rFonts w:ascii="TeleNeo Office" w:eastAsia="Arial" w:hAnsi="TeleNeo Office" w:cs="Arial"/>
                <w:lang w:val="en-US"/>
              </w:rPr>
              <w:t>C</w:t>
            </w:r>
            <w:r w:rsidR="00ED46FA" w:rsidRPr="00ED46FA">
              <w:rPr>
                <w:rFonts w:ascii="TeleNeo Office" w:eastAsia="Arial" w:hAnsi="TeleNeo Office" w:cs="Arial"/>
              </w:rPr>
              <w:t>.</w:t>
            </w:r>
          </w:p>
          <w:tbl>
            <w:tblPr>
              <w:tblStyle w:val="TableGrid"/>
              <w:tblW w:w="0" w:type="auto"/>
              <w:tblLayout w:type="fixed"/>
              <w:tblLook w:val="04A0" w:firstRow="1" w:lastRow="0" w:firstColumn="1" w:lastColumn="0" w:noHBand="0" w:noVBand="1"/>
            </w:tblPr>
            <w:tblGrid>
              <w:gridCol w:w="2402"/>
              <w:gridCol w:w="2402"/>
              <w:gridCol w:w="2402"/>
            </w:tblGrid>
            <w:tr w:rsidR="000A3387" w:rsidTr="00541947">
              <w:trPr>
                <w:trHeight w:val="428"/>
              </w:trPr>
              <w:tc>
                <w:tcPr>
                  <w:tcW w:w="2402" w:type="dxa"/>
                </w:tcPr>
                <w:p w:rsidR="000A3387" w:rsidRPr="000A3387" w:rsidRDefault="000A3387" w:rsidP="0095612A">
                  <w:pPr>
                    <w:spacing w:line="276" w:lineRule="auto"/>
                    <w:jc w:val="center"/>
                    <w:rPr>
                      <w:rFonts w:ascii="TeleNeo Office" w:eastAsia="Arial" w:hAnsi="TeleNeo Office" w:cs="Arial"/>
                      <w:b/>
                    </w:rPr>
                  </w:pPr>
                  <w:r w:rsidRPr="000A3387">
                    <w:rPr>
                      <w:rFonts w:ascii="TeleNeo Office" w:eastAsia="Arial" w:hAnsi="TeleNeo Office" w:cs="Arial"/>
                      <w:b/>
                    </w:rPr>
                    <w:t>Големина на компаниите</w:t>
                  </w:r>
                </w:p>
              </w:tc>
              <w:tc>
                <w:tcPr>
                  <w:tcW w:w="2402" w:type="dxa"/>
                </w:tcPr>
                <w:p w:rsidR="000A3387" w:rsidRPr="000A3387" w:rsidRDefault="000A3387" w:rsidP="000A3387">
                  <w:pPr>
                    <w:spacing w:after="120" w:line="276" w:lineRule="auto"/>
                    <w:jc w:val="center"/>
                    <w:rPr>
                      <w:rFonts w:ascii="TeleNeo Office" w:eastAsia="Arial" w:hAnsi="TeleNeo Office" w:cs="Arial"/>
                      <w:b/>
                    </w:rPr>
                  </w:pPr>
                  <w:r w:rsidRPr="000A3387">
                    <w:rPr>
                      <w:rFonts w:ascii="TeleNeo Office" w:eastAsia="Arial" w:hAnsi="TeleNeo Office" w:cs="Arial"/>
                      <w:b/>
                    </w:rPr>
                    <w:t>Број на вработени</w:t>
                  </w:r>
                </w:p>
              </w:tc>
              <w:tc>
                <w:tcPr>
                  <w:tcW w:w="2402" w:type="dxa"/>
                </w:tcPr>
                <w:p w:rsidR="000A3387" w:rsidRPr="000A3387" w:rsidRDefault="000A3387" w:rsidP="000A3387">
                  <w:pPr>
                    <w:spacing w:after="120" w:line="276" w:lineRule="auto"/>
                    <w:jc w:val="center"/>
                    <w:rPr>
                      <w:rFonts w:ascii="TeleNeo Office" w:eastAsia="Arial" w:hAnsi="TeleNeo Office" w:cs="Arial"/>
                      <w:b/>
                    </w:rPr>
                  </w:pPr>
                  <w:r w:rsidRPr="000A3387">
                    <w:rPr>
                      <w:rFonts w:ascii="TeleNeo Office" w:eastAsia="Arial" w:hAnsi="TeleNeo Office" w:cs="Arial"/>
                      <w:b/>
                    </w:rPr>
                    <w:t>Годишен обрт</w:t>
                  </w:r>
                </w:p>
              </w:tc>
            </w:tr>
            <w:tr w:rsidR="000A3387" w:rsidTr="00541947">
              <w:tc>
                <w:tcPr>
                  <w:tcW w:w="2402" w:type="dxa"/>
                </w:tcPr>
                <w:p w:rsidR="000A3387" w:rsidRDefault="000A3387" w:rsidP="000A3387">
                  <w:pPr>
                    <w:spacing w:after="120" w:line="276" w:lineRule="auto"/>
                    <w:jc w:val="both"/>
                    <w:rPr>
                      <w:rFonts w:ascii="TeleNeo Office" w:eastAsia="Arial" w:hAnsi="TeleNeo Office" w:cs="Arial"/>
                    </w:rPr>
                  </w:pPr>
                  <w:r>
                    <w:rPr>
                      <w:rFonts w:ascii="TeleNeo Office" w:eastAsia="Arial" w:hAnsi="TeleNeo Office" w:cs="Arial"/>
                    </w:rPr>
                    <w:t>Средно големи</w:t>
                  </w:r>
                </w:p>
              </w:tc>
              <w:tc>
                <w:tcPr>
                  <w:tcW w:w="2402" w:type="dxa"/>
                </w:tcPr>
                <w:p w:rsidR="000A3387" w:rsidRDefault="000A3387" w:rsidP="000A3387">
                  <w:pPr>
                    <w:spacing w:after="120" w:line="276" w:lineRule="auto"/>
                    <w:jc w:val="both"/>
                    <w:rPr>
                      <w:rFonts w:ascii="TeleNeo Office" w:eastAsia="Arial" w:hAnsi="TeleNeo Office" w:cs="Arial"/>
                    </w:rPr>
                  </w:pPr>
                  <w:r>
                    <w:rPr>
                      <w:rFonts w:ascii="TeleNeo Office" w:eastAsia="Arial" w:hAnsi="TeleNeo Office" w:cs="Arial"/>
                    </w:rPr>
                    <w:t>Помеѓу</w:t>
                  </w:r>
                  <w:r w:rsidRPr="000A3387">
                    <w:rPr>
                      <w:rFonts w:ascii="TeleNeo Office" w:eastAsia="Arial" w:hAnsi="TeleNeo Office" w:cs="Arial"/>
                    </w:rPr>
                    <w:t xml:space="preserve"> 50 and 250</w:t>
                  </w:r>
                </w:p>
              </w:tc>
              <w:tc>
                <w:tcPr>
                  <w:tcW w:w="2402" w:type="dxa"/>
                </w:tcPr>
                <w:p w:rsidR="000A3387" w:rsidRDefault="000A3387" w:rsidP="000A3387">
                  <w:pPr>
                    <w:spacing w:after="120" w:line="276" w:lineRule="auto"/>
                    <w:jc w:val="both"/>
                    <w:rPr>
                      <w:rFonts w:ascii="TeleNeo Office" w:eastAsia="Arial" w:hAnsi="TeleNeo Office" w:cs="Arial"/>
                    </w:rPr>
                  </w:pPr>
                  <w:r>
                    <w:rPr>
                      <w:rFonts w:ascii="TeleNeo Office" w:eastAsia="Arial" w:hAnsi="TeleNeo Office" w:cs="Arial"/>
                    </w:rPr>
                    <w:t>Помеѓу</w:t>
                  </w:r>
                  <w:r w:rsidRPr="000A3387">
                    <w:rPr>
                      <w:rFonts w:ascii="TeleNeo Office" w:eastAsia="Arial" w:hAnsi="TeleNeo Office" w:cs="Arial"/>
                    </w:rPr>
                    <w:t xml:space="preserve"> €10m </w:t>
                  </w:r>
                  <w:r>
                    <w:rPr>
                      <w:rFonts w:ascii="TeleNeo Office" w:eastAsia="Arial" w:hAnsi="TeleNeo Office" w:cs="Arial"/>
                    </w:rPr>
                    <w:t>до</w:t>
                  </w:r>
                  <w:r w:rsidRPr="000A3387">
                    <w:rPr>
                      <w:rFonts w:ascii="TeleNeo Office" w:eastAsia="Arial" w:hAnsi="TeleNeo Office" w:cs="Arial"/>
                    </w:rPr>
                    <w:t xml:space="preserve"> €50m</w:t>
                  </w:r>
                </w:p>
              </w:tc>
            </w:tr>
            <w:tr w:rsidR="000A3387" w:rsidTr="00541947">
              <w:tc>
                <w:tcPr>
                  <w:tcW w:w="2402" w:type="dxa"/>
                </w:tcPr>
                <w:p w:rsidR="000A3387" w:rsidRDefault="000A3387" w:rsidP="000A3387">
                  <w:pPr>
                    <w:spacing w:after="120" w:line="276" w:lineRule="auto"/>
                    <w:jc w:val="both"/>
                    <w:rPr>
                      <w:rFonts w:ascii="TeleNeo Office" w:eastAsia="Arial" w:hAnsi="TeleNeo Office" w:cs="Arial"/>
                    </w:rPr>
                  </w:pPr>
                  <w:r>
                    <w:rPr>
                      <w:rFonts w:ascii="TeleNeo Office" w:eastAsia="Arial" w:hAnsi="TeleNeo Office" w:cs="Arial"/>
                    </w:rPr>
                    <w:t>Големи</w:t>
                  </w:r>
                </w:p>
              </w:tc>
              <w:tc>
                <w:tcPr>
                  <w:tcW w:w="2402" w:type="dxa"/>
                </w:tcPr>
                <w:p w:rsidR="000A3387" w:rsidRDefault="000A3387" w:rsidP="000A3387">
                  <w:pPr>
                    <w:spacing w:after="120" w:line="276" w:lineRule="auto"/>
                    <w:jc w:val="both"/>
                    <w:rPr>
                      <w:rFonts w:ascii="TeleNeo Office" w:eastAsia="Arial" w:hAnsi="TeleNeo Office" w:cs="Arial"/>
                    </w:rPr>
                  </w:pPr>
                  <w:r>
                    <w:rPr>
                      <w:rFonts w:ascii="TeleNeo Office" w:eastAsia="Arial" w:hAnsi="TeleNeo Office" w:cs="Arial"/>
                    </w:rPr>
                    <w:t>Повеќе</w:t>
                  </w:r>
                  <w:r w:rsidRPr="000A3387">
                    <w:rPr>
                      <w:rFonts w:ascii="TeleNeo Office" w:eastAsia="Arial" w:hAnsi="TeleNeo Office" w:cs="Arial"/>
                    </w:rPr>
                    <w:t xml:space="preserve"> </w:t>
                  </w:r>
                  <w:r>
                    <w:rPr>
                      <w:rFonts w:ascii="TeleNeo Office" w:eastAsia="Arial" w:hAnsi="TeleNeo Office" w:cs="Arial"/>
                    </w:rPr>
                    <w:t xml:space="preserve">од </w:t>
                  </w:r>
                  <w:r w:rsidRPr="000A3387">
                    <w:rPr>
                      <w:rFonts w:ascii="TeleNeo Office" w:eastAsia="Arial" w:hAnsi="TeleNeo Office" w:cs="Arial"/>
                    </w:rPr>
                    <w:t>250</w:t>
                  </w:r>
                </w:p>
              </w:tc>
              <w:tc>
                <w:tcPr>
                  <w:tcW w:w="2402" w:type="dxa"/>
                </w:tcPr>
                <w:p w:rsidR="000A3387" w:rsidRDefault="000A3387" w:rsidP="000A3387">
                  <w:pPr>
                    <w:spacing w:after="120" w:line="276" w:lineRule="auto"/>
                    <w:jc w:val="both"/>
                    <w:rPr>
                      <w:rFonts w:ascii="TeleNeo Office" w:eastAsia="Arial" w:hAnsi="TeleNeo Office" w:cs="Arial"/>
                    </w:rPr>
                  </w:pPr>
                  <w:r>
                    <w:rPr>
                      <w:rFonts w:ascii="TeleNeo Office" w:eastAsia="Arial" w:hAnsi="TeleNeo Office" w:cs="Arial"/>
                    </w:rPr>
                    <w:t xml:space="preserve">Повеќе од </w:t>
                  </w:r>
                  <w:r w:rsidRPr="000A3387">
                    <w:rPr>
                      <w:rFonts w:ascii="TeleNeo Office" w:eastAsia="Arial" w:hAnsi="TeleNeo Office" w:cs="Arial"/>
                    </w:rPr>
                    <w:t xml:space="preserve"> €50m</w:t>
                  </w:r>
                </w:p>
              </w:tc>
            </w:tr>
          </w:tbl>
          <w:p w:rsidR="00823AB5" w:rsidRPr="00823AB5" w:rsidRDefault="00823AB5" w:rsidP="004F54E5">
            <w:pPr>
              <w:jc w:val="both"/>
              <w:rPr>
                <w:rFonts w:ascii="TeleNeo Office" w:eastAsia="Arial" w:hAnsi="TeleNeo Office" w:cs="Arial"/>
              </w:rPr>
            </w:pPr>
            <w:r w:rsidRPr="00823AB5">
              <w:rPr>
                <w:rFonts w:ascii="TeleNeo Office" w:eastAsia="Arial" w:hAnsi="TeleNeo Office" w:cs="Arial"/>
              </w:rPr>
              <w:t>Само ентитети со големи димензии активни во секторите опфатени со Анекс I</w:t>
            </w:r>
            <w:r w:rsidR="0095612A">
              <w:rPr>
                <w:rFonts w:ascii="TeleNeo Office" w:eastAsia="Arial" w:hAnsi="TeleNeo Office" w:cs="Arial"/>
              </w:rPr>
              <w:t xml:space="preserve"> од директивата</w:t>
            </w:r>
            <w:r w:rsidRPr="00823AB5">
              <w:rPr>
                <w:rFonts w:ascii="TeleNeo Office" w:eastAsia="Arial" w:hAnsi="TeleNeo Office" w:cs="Arial"/>
              </w:rPr>
              <w:t>, како што се управувани</w:t>
            </w:r>
            <w:r w:rsidR="0095612A">
              <w:rPr>
                <w:rFonts w:ascii="TeleNeo Office" w:eastAsia="Arial" w:hAnsi="TeleNeo Office" w:cs="Arial"/>
              </w:rPr>
              <w:t xml:space="preserve"> </w:t>
            </w:r>
            <w:r w:rsidRPr="00823AB5">
              <w:rPr>
                <w:rFonts w:ascii="TeleNeo Office" w:eastAsia="Arial" w:hAnsi="TeleNeo Office" w:cs="Arial"/>
              </w:rPr>
              <w:t xml:space="preserve">давателите на услуги (MSPs) или давателите на услуги </w:t>
            </w:r>
            <w:r w:rsidR="0095612A">
              <w:rPr>
                <w:rFonts w:ascii="TeleNeo Office" w:eastAsia="Arial" w:hAnsi="TeleNeo Office" w:cs="Arial"/>
              </w:rPr>
              <w:t xml:space="preserve">во </w:t>
            </w:r>
            <w:r w:rsidR="0095612A" w:rsidRPr="00823AB5">
              <w:rPr>
                <w:rFonts w:ascii="TeleNeo Office" w:eastAsia="Arial" w:hAnsi="TeleNeo Office" w:cs="Arial"/>
              </w:rPr>
              <w:t xml:space="preserve">облак </w:t>
            </w:r>
            <w:r w:rsidRPr="00823AB5">
              <w:rPr>
                <w:rFonts w:ascii="TeleNeo Office" w:eastAsia="Arial" w:hAnsi="TeleNeo Office" w:cs="Arial"/>
              </w:rPr>
              <w:t>(CSPs) се класифицираат како суштински ентитети.</w:t>
            </w:r>
          </w:p>
          <w:p w:rsidR="00823AB5" w:rsidRPr="00823AB5" w:rsidRDefault="0095612A" w:rsidP="004F54E5">
            <w:pPr>
              <w:jc w:val="both"/>
              <w:rPr>
                <w:rFonts w:ascii="TeleNeo Office" w:eastAsia="Arial" w:hAnsi="TeleNeo Office" w:cs="Arial"/>
              </w:rPr>
            </w:pPr>
            <w:r>
              <w:rPr>
                <w:rFonts w:ascii="TeleNeo Office" w:eastAsia="Arial" w:hAnsi="TeleNeo Office" w:cs="Arial"/>
              </w:rPr>
              <w:t>И</w:t>
            </w:r>
            <w:r w:rsidR="00823AB5" w:rsidRPr="00823AB5">
              <w:rPr>
                <w:rFonts w:ascii="TeleNeo Office" w:eastAsia="Arial" w:hAnsi="TeleNeo Office" w:cs="Arial"/>
              </w:rPr>
              <w:t>склучок е направен за телекомуникацискиот сектор</w:t>
            </w:r>
            <w:r>
              <w:rPr>
                <w:rFonts w:ascii="TeleNeo Office" w:eastAsia="Arial" w:hAnsi="TeleNeo Office" w:cs="Arial"/>
              </w:rPr>
              <w:t>,</w:t>
            </w:r>
            <w:r w:rsidR="00823AB5" w:rsidRPr="00823AB5">
              <w:rPr>
                <w:rFonts w:ascii="TeleNeo Office" w:eastAsia="Arial" w:hAnsi="TeleNeo Office" w:cs="Arial"/>
              </w:rPr>
              <w:t xml:space="preserve"> </w:t>
            </w:r>
            <w:r>
              <w:rPr>
                <w:rFonts w:ascii="TeleNeo Office" w:eastAsia="Arial" w:hAnsi="TeleNeo Office" w:cs="Arial"/>
              </w:rPr>
              <w:t>т</w:t>
            </w:r>
            <w:r w:rsidR="00823AB5" w:rsidRPr="00823AB5">
              <w:rPr>
                <w:rFonts w:ascii="TeleNeo Office" w:eastAsia="Arial" w:hAnsi="TeleNeo Office" w:cs="Arial"/>
              </w:rPr>
              <w:t>елекомуникациските оператори со средна големина, исто така, се сметаат за суштински субјекти.</w:t>
            </w:r>
          </w:p>
          <w:p w:rsidR="00823AB5" w:rsidRPr="00823AB5" w:rsidRDefault="00823AB5" w:rsidP="004F54E5">
            <w:pPr>
              <w:jc w:val="both"/>
              <w:rPr>
                <w:rFonts w:ascii="TeleNeo Office" w:eastAsia="Arial" w:hAnsi="TeleNeo Office" w:cs="Arial"/>
              </w:rPr>
            </w:pPr>
            <w:r w:rsidRPr="00823AB5">
              <w:rPr>
                <w:rFonts w:ascii="TeleNeo Office" w:eastAsia="Arial" w:hAnsi="TeleNeo Office" w:cs="Arial"/>
              </w:rPr>
              <w:t xml:space="preserve">Без оглед на нивната големина, </w:t>
            </w:r>
            <w:r w:rsidR="004F54E5">
              <w:rPr>
                <w:rFonts w:ascii="TeleNeo Office" w:eastAsia="Arial" w:hAnsi="TeleNeo Office" w:cs="Arial"/>
              </w:rPr>
              <w:t xml:space="preserve">субјектите класифицирани во согласност </w:t>
            </w:r>
            <w:r w:rsidR="004F54E5" w:rsidRPr="00D43DAF">
              <w:rPr>
                <w:rFonts w:ascii="TeleNeo Office" w:eastAsia="Arial" w:hAnsi="TeleNeo Office" w:cs="Arial"/>
              </w:rPr>
              <w:t>со</w:t>
            </w:r>
            <w:r w:rsidR="00FD7C31" w:rsidRPr="00D43DAF">
              <w:rPr>
                <w:rFonts w:ascii="TeleNeo Office" w:eastAsia="Arial" w:hAnsi="TeleNeo Office" w:cs="Arial"/>
              </w:rPr>
              <w:t xml:space="preserve"> </w:t>
            </w:r>
            <w:r w:rsidR="00FD7C31" w:rsidRPr="00D43DAF">
              <w:rPr>
                <w:rFonts w:ascii="TeleNeo Office" w:eastAsia="Arial" w:hAnsi="TeleNeo Office" w:cs="Arial"/>
                <w:shd w:val="clear" w:color="auto" w:fill="FFFFFF" w:themeFill="background1"/>
              </w:rPr>
              <w:t>eIDAS</w:t>
            </w:r>
            <w:r w:rsidR="00FD7C31" w:rsidRPr="00FD7C31">
              <w:rPr>
                <w:rFonts w:ascii="TeleNeo Office" w:eastAsia="Arial" w:hAnsi="TeleNeo Office" w:cs="Arial"/>
                <w:shd w:val="clear" w:color="auto" w:fill="FFFFFF" w:themeFill="background1"/>
              </w:rPr>
              <w:t xml:space="preserve"> регулацијата </w:t>
            </w:r>
            <w:r w:rsidR="004F54E5" w:rsidRPr="00FD7C31">
              <w:rPr>
                <w:rFonts w:ascii="TeleNeo Office" w:eastAsia="Arial" w:hAnsi="TeleNeo Office" w:cs="Arial"/>
                <w:shd w:val="clear" w:color="auto" w:fill="FFFFFF" w:themeFill="background1"/>
              </w:rPr>
              <w:t xml:space="preserve"> </w:t>
            </w:r>
            <w:r w:rsidR="00FD7C31" w:rsidRPr="00FD7C31">
              <w:rPr>
                <w:rFonts w:ascii="TeleNeo Office" w:eastAsia="Arial" w:hAnsi="TeleNeo Office" w:cs="Arial"/>
                <w:shd w:val="clear" w:color="auto" w:fill="FFFFFF" w:themeFill="background1"/>
              </w:rPr>
              <w:t>(</w:t>
            </w:r>
            <w:r w:rsidR="004F54E5" w:rsidRPr="00FD7C31">
              <w:rPr>
                <w:rFonts w:ascii="TeleNeo Office" w:eastAsia="Arial" w:hAnsi="TeleNeo Office" w:cs="Arial"/>
                <w:shd w:val="clear" w:color="auto" w:fill="FFFFFF" w:themeFill="background1"/>
              </w:rPr>
              <w:t>Regulation on electronic identification and trust services for electronic transactions in the internal market</w:t>
            </w:r>
            <w:r w:rsidR="00FD7C31" w:rsidRPr="00FD7C31">
              <w:rPr>
                <w:rFonts w:ascii="TeleNeo Office" w:eastAsia="Arial" w:hAnsi="TeleNeo Office" w:cs="Arial"/>
                <w:shd w:val="clear" w:color="auto" w:fill="FFFFFF" w:themeFill="background1"/>
              </w:rPr>
              <w:t>),</w:t>
            </w:r>
            <w:r w:rsidR="00FD7C31" w:rsidRPr="00FD7C31">
              <w:rPr>
                <w:rFonts w:ascii="TeleNeo Office" w:eastAsia="Arial" w:hAnsi="TeleNeo Office" w:cs="Arial"/>
              </w:rPr>
              <w:t xml:space="preserve"> </w:t>
            </w:r>
            <w:r w:rsidRPr="00823AB5">
              <w:rPr>
                <w:rFonts w:ascii="TeleNeo Office" w:eastAsia="Arial" w:hAnsi="TeleNeo Office" w:cs="Arial"/>
              </w:rPr>
              <w:t xml:space="preserve">на TLD </w:t>
            </w:r>
            <w:r w:rsidR="004F54E5">
              <w:rPr>
                <w:rFonts w:ascii="TeleNeo Office" w:eastAsia="Arial" w:hAnsi="TeleNeo Office" w:cs="Arial"/>
                <w:lang w:val="en-US"/>
              </w:rPr>
              <w:t xml:space="preserve"> (</w:t>
            </w:r>
            <w:r w:rsidR="004F54E5" w:rsidRPr="004F54E5">
              <w:rPr>
                <w:rFonts w:ascii="TeleNeo Office" w:eastAsia="Arial" w:hAnsi="TeleNeo Office" w:cs="Arial"/>
                <w:lang w:val="en-US"/>
              </w:rPr>
              <w:t>Top-Level Domains</w:t>
            </w:r>
            <w:r w:rsidR="004F54E5">
              <w:rPr>
                <w:rFonts w:ascii="TeleNeo Office" w:eastAsia="Arial" w:hAnsi="TeleNeo Office" w:cs="Arial"/>
                <w:lang w:val="en-US"/>
              </w:rPr>
              <w:t xml:space="preserve">) </w:t>
            </w:r>
            <w:r w:rsidR="004F54E5" w:rsidRPr="00823AB5">
              <w:rPr>
                <w:rFonts w:ascii="TeleNeo Office" w:eastAsia="Arial" w:hAnsi="TeleNeo Office" w:cs="Arial"/>
              </w:rPr>
              <w:t xml:space="preserve">регистрите </w:t>
            </w:r>
            <w:r w:rsidR="004F54E5">
              <w:rPr>
                <w:rFonts w:ascii="TeleNeo Office" w:eastAsia="Arial" w:hAnsi="TeleNeo Office" w:cs="Arial"/>
              </w:rPr>
              <w:t>на</w:t>
            </w:r>
            <w:r w:rsidR="004F54E5" w:rsidRPr="00823AB5">
              <w:rPr>
                <w:rFonts w:ascii="TeleNeo Office" w:eastAsia="Arial" w:hAnsi="TeleNeo Office" w:cs="Arial"/>
              </w:rPr>
              <w:t xml:space="preserve"> имиња </w:t>
            </w:r>
            <w:r w:rsidRPr="00823AB5">
              <w:rPr>
                <w:rFonts w:ascii="TeleNeo Office" w:eastAsia="Arial" w:hAnsi="TeleNeo Office" w:cs="Arial"/>
              </w:rPr>
              <w:t>и на давателите на услуги</w:t>
            </w:r>
            <w:r w:rsidR="0095612A">
              <w:rPr>
                <w:rFonts w:ascii="TeleNeo Office" w:eastAsia="Arial" w:hAnsi="TeleNeo Office" w:cs="Arial"/>
                <w:lang w:val="en-US"/>
              </w:rPr>
              <w:t xml:space="preserve"> </w:t>
            </w:r>
            <w:r w:rsidRPr="00823AB5">
              <w:rPr>
                <w:rFonts w:ascii="TeleNeo Office" w:eastAsia="Arial" w:hAnsi="TeleNeo Office" w:cs="Arial"/>
              </w:rPr>
              <w:t>на DNS</w:t>
            </w:r>
            <w:r w:rsidR="00FD7C31">
              <w:rPr>
                <w:rFonts w:ascii="TeleNeo Office" w:eastAsia="Arial" w:hAnsi="TeleNeo Office" w:cs="Arial"/>
                <w:lang w:val="en-US"/>
              </w:rPr>
              <w:t xml:space="preserve"> (</w:t>
            </w:r>
            <w:r w:rsidR="00FD7C31" w:rsidRPr="00CF5C82">
              <w:rPr>
                <w:rFonts w:ascii="TeleNeo Office" w:eastAsia="Arial" w:hAnsi="TeleNeo Office" w:cs="Arial"/>
                <w:lang w:val="en-US"/>
              </w:rPr>
              <w:t>Domain name system</w:t>
            </w:r>
            <w:r w:rsidR="00FD7C31" w:rsidRPr="00FD7C31">
              <w:rPr>
                <w:rStyle w:val="Emphasis"/>
                <w:rFonts w:ascii="TeleNeo Office" w:hAnsi="TeleNeo Office" w:cs="Arial"/>
                <w:bCs/>
                <w:i w:val="0"/>
                <w:iCs w:val="0"/>
                <w:sz w:val="21"/>
                <w:szCs w:val="21"/>
                <w:shd w:val="clear" w:color="auto" w:fill="FFFFFF"/>
                <w:lang w:val="en-US"/>
              </w:rPr>
              <w:t>)</w:t>
            </w:r>
            <w:r w:rsidRPr="00FD7C31">
              <w:rPr>
                <w:rFonts w:ascii="TeleNeo Office" w:eastAsia="Arial" w:hAnsi="TeleNeo Office" w:cs="Arial"/>
              </w:rPr>
              <w:t xml:space="preserve">, </w:t>
            </w:r>
            <w:r w:rsidRPr="00823AB5">
              <w:rPr>
                <w:rFonts w:ascii="TeleNeo Office" w:eastAsia="Arial" w:hAnsi="TeleNeo Office" w:cs="Arial"/>
              </w:rPr>
              <w:t>подеднакво ќе се класифицираат како суштински ентитети.</w:t>
            </w:r>
          </w:p>
          <w:p w:rsidR="00823AB5" w:rsidRPr="00823AB5" w:rsidRDefault="00823AB5" w:rsidP="004F54E5">
            <w:pPr>
              <w:jc w:val="both"/>
              <w:rPr>
                <w:rFonts w:ascii="TeleNeo Office" w:eastAsia="Arial" w:hAnsi="TeleNeo Office" w:cs="Arial"/>
              </w:rPr>
            </w:pPr>
            <w:r w:rsidRPr="00823AB5">
              <w:rPr>
                <w:rFonts w:ascii="TeleNeo Office" w:eastAsia="Arial" w:hAnsi="TeleNeo Office" w:cs="Arial"/>
              </w:rPr>
              <w:t xml:space="preserve">Субјекти со средна големина опфатени во Анекс I, како и </w:t>
            </w:r>
            <w:r w:rsidR="00FD7C31" w:rsidRPr="00823AB5">
              <w:rPr>
                <w:rFonts w:ascii="TeleNeo Office" w:eastAsia="Arial" w:hAnsi="TeleNeo Office" w:cs="Arial"/>
              </w:rPr>
              <w:t>големи</w:t>
            </w:r>
            <w:r w:rsidR="00FD7C31">
              <w:rPr>
                <w:rFonts w:ascii="TeleNeo Office" w:eastAsia="Arial" w:hAnsi="TeleNeo Office" w:cs="Arial"/>
              </w:rPr>
              <w:t>те</w:t>
            </w:r>
            <w:r w:rsidR="00FD7C31" w:rsidRPr="00823AB5">
              <w:rPr>
                <w:rFonts w:ascii="TeleNeo Office" w:eastAsia="Arial" w:hAnsi="TeleNeo Office" w:cs="Arial"/>
              </w:rPr>
              <w:t xml:space="preserve"> </w:t>
            </w:r>
            <w:r w:rsidRPr="00823AB5">
              <w:rPr>
                <w:rFonts w:ascii="TeleNeo Office" w:eastAsia="Arial" w:hAnsi="TeleNeo Office" w:cs="Arial"/>
              </w:rPr>
              <w:t xml:space="preserve"> и средн</w:t>
            </w:r>
            <w:r w:rsidR="006C494C">
              <w:rPr>
                <w:rFonts w:ascii="TeleNeo Office" w:eastAsia="Arial" w:hAnsi="TeleNeo Office" w:cs="Arial"/>
              </w:rPr>
              <w:t>о</w:t>
            </w:r>
            <w:r w:rsidRPr="00823AB5">
              <w:rPr>
                <w:rFonts w:ascii="TeleNeo Office" w:eastAsia="Arial" w:hAnsi="TeleNeo Office" w:cs="Arial"/>
              </w:rPr>
              <w:t xml:space="preserve"> големи</w:t>
            </w:r>
            <w:r w:rsidR="00FD7C31">
              <w:rPr>
                <w:rFonts w:ascii="TeleNeo Office" w:eastAsia="Arial" w:hAnsi="TeleNeo Office" w:cs="Arial"/>
              </w:rPr>
              <w:t>те</w:t>
            </w:r>
            <w:r w:rsidR="0095612A">
              <w:rPr>
                <w:rFonts w:ascii="TeleNeo Office" w:eastAsia="Arial" w:hAnsi="TeleNeo Office" w:cs="Arial"/>
                <w:lang w:val="en-US"/>
              </w:rPr>
              <w:t xml:space="preserve"> </w:t>
            </w:r>
            <w:r w:rsidR="00FD7C31" w:rsidRPr="00823AB5">
              <w:rPr>
                <w:rFonts w:ascii="TeleNeo Office" w:eastAsia="Arial" w:hAnsi="TeleNeo Office" w:cs="Arial"/>
              </w:rPr>
              <w:t xml:space="preserve">субјекти </w:t>
            </w:r>
            <w:r w:rsidRPr="00823AB5">
              <w:rPr>
                <w:rFonts w:ascii="TeleNeo Office" w:eastAsia="Arial" w:hAnsi="TeleNeo Office" w:cs="Arial"/>
              </w:rPr>
              <w:t>опфатени во анекс II</w:t>
            </w:r>
            <w:r w:rsidR="00FD7C31">
              <w:rPr>
                <w:rFonts w:ascii="TeleNeo Office" w:eastAsia="Arial" w:hAnsi="TeleNeo Office" w:cs="Arial"/>
              </w:rPr>
              <w:t xml:space="preserve"> од директивата</w:t>
            </w:r>
            <w:r w:rsidRPr="00823AB5">
              <w:rPr>
                <w:rFonts w:ascii="TeleNeo Office" w:eastAsia="Arial" w:hAnsi="TeleNeo Office" w:cs="Arial"/>
              </w:rPr>
              <w:t xml:space="preserve"> (на пр. онлајн </w:t>
            </w:r>
            <w:r w:rsidR="004F54E5">
              <w:rPr>
                <w:rFonts w:ascii="TeleNeo Office" w:eastAsia="Arial" w:hAnsi="TeleNeo Office" w:cs="Arial"/>
              </w:rPr>
              <w:t>услуги</w:t>
            </w:r>
            <w:r w:rsidRPr="00823AB5">
              <w:rPr>
                <w:rFonts w:ascii="TeleNeo Office" w:eastAsia="Arial" w:hAnsi="TeleNeo Office" w:cs="Arial"/>
              </w:rPr>
              <w:t xml:space="preserve"> и пребарувачи) се класифицираат како важни</w:t>
            </w:r>
            <w:r w:rsidR="0095612A">
              <w:rPr>
                <w:rFonts w:ascii="TeleNeo Office" w:eastAsia="Arial" w:hAnsi="TeleNeo Office" w:cs="Arial"/>
                <w:lang w:val="en-US"/>
              </w:rPr>
              <w:t xml:space="preserve"> </w:t>
            </w:r>
            <w:r w:rsidRPr="00823AB5">
              <w:rPr>
                <w:rFonts w:ascii="TeleNeo Office" w:eastAsia="Arial" w:hAnsi="TeleNeo Office" w:cs="Arial"/>
              </w:rPr>
              <w:t>субјекти.</w:t>
            </w:r>
          </w:p>
          <w:p w:rsidR="000A3387" w:rsidRPr="00ED46FA" w:rsidRDefault="00823AB5" w:rsidP="00D43DAF">
            <w:pPr>
              <w:jc w:val="both"/>
              <w:rPr>
                <w:rFonts w:ascii="TeleNeo Office" w:eastAsia="Arial" w:hAnsi="TeleNeo Office" w:cs="Arial"/>
              </w:rPr>
            </w:pPr>
            <w:r w:rsidRPr="00823AB5">
              <w:rPr>
                <w:rFonts w:ascii="TeleNeo Office" w:eastAsia="Arial" w:hAnsi="TeleNeo Office" w:cs="Arial"/>
              </w:rPr>
              <w:t xml:space="preserve">NIS2 </w:t>
            </w:r>
            <w:r w:rsidR="00FD7C31">
              <w:rPr>
                <w:rFonts w:ascii="TeleNeo Office" w:eastAsia="Arial" w:hAnsi="TeleNeo Office" w:cs="Arial"/>
              </w:rPr>
              <w:t xml:space="preserve"> директивата </w:t>
            </w:r>
            <w:r w:rsidRPr="00823AB5">
              <w:rPr>
                <w:rFonts w:ascii="TeleNeo Office" w:eastAsia="Arial" w:hAnsi="TeleNeo Office" w:cs="Arial"/>
              </w:rPr>
              <w:t xml:space="preserve">им овозможува на </w:t>
            </w:r>
            <w:r w:rsidR="0095612A">
              <w:rPr>
                <w:rFonts w:ascii="TeleNeo Office" w:eastAsia="Arial" w:hAnsi="TeleNeo Office" w:cs="Arial"/>
              </w:rPr>
              <w:t>државите</w:t>
            </w:r>
            <w:r w:rsidRPr="00823AB5">
              <w:rPr>
                <w:rFonts w:ascii="TeleNeo Office" w:eastAsia="Arial" w:hAnsi="TeleNeo Office" w:cs="Arial"/>
              </w:rPr>
              <w:t xml:space="preserve"> да го рекласифицираат секој ентитет опфатен во</w:t>
            </w:r>
            <w:r w:rsidR="0095612A">
              <w:rPr>
                <w:rFonts w:ascii="TeleNeo Office" w:eastAsia="Arial" w:hAnsi="TeleNeo Office" w:cs="Arial"/>
                <w:lang w:val="en-US"/>
              </w:rPr>
              <w:t xml:space="preserve"> </w:t>
            </w:r>
            <w:r w:rsidRPr="00823AB5">
              <w:rPr>
                <w:rFonts w:ascii="TeleNeo Office" w:eastAsia="Arial" w:hAnsi="TeleNeo Office" w:cs="Arial"/>
              </w:rPr>
              <w:t>анекс I и II како суштински, по национална проценка на ризикот и врз основа на збир на</w:t>
            </w:r>
            <w:r w:rsidR="0095612A">
              <w:rPr>
                <w:rFonts w:ascii="TeleNeo Office" w:eastAsia="Arial" w:hAnsi="TeleNeo Office" w:cs="Arial"/>
              </w:rPr>
              <w:t xml:space="preserve"> </w:t>
            </w:r>
            <w:r w:rsidRPr="00823AB5">
              <w:rPr>
                <w:rFonts w:ascii="TeleNeo Office" w:eastAsia="Arial" w:hAnsi="TeleNeo Office" w:cs="Arial"/>
              </w:rPr>
              <w:t xml:space="preserve">критериуми наведени во директивата. </w:t>
            </w:r>
            <w:r w:rsidR="0095612A">
              <w:rPr>
                <w:rFonts w:ascii="TeleNeo Office" w:eastAsia="Arial" w:hAnsi="TeleNeo Office" w:cs="Arial"/>
              </w:rPr>
              <w:t xml:space="preserve">Таков би бил случајот доколку </w:t>
            </w:r>
            <w:r w:rsidRPr="00823AB5">
              <w:rPr>
                <w:rFonts w:ascii="TeleNeo Office" w:eastAsia="Arial" w:hAnsi="TeleNeo Office" w:cs="Arial"/>
              </w:rPr>
              <w:t xml:space="preserve">нарушување на услугата обезбедена </w:t>
            </w:r>
            <w:r w:rsidR="0095612A">
              <w:rPr>
                <w:rFonts w:ascii="TeleNeo Office" w:eastAsia="Arial" w:hAnsi="TeleNeo Office" w:cs="Arial"/>
              </w:rPr>
              <w:t xml:space="preserve">од одреден </w:t>
            </w:r>
            <w:r w:rsidRPr="00823AB5">
              <w:rPr>
                <w:rFonts w:ascii="TeleNeo Office" w:eastAsia="Arial" w:hAnsi="TeleNeo Office" w:cs="Arial"/>
              </w:rPr>
              <w:t>субјект</w:t>
            </w:r>
            <w:r w:rsidR="0095612A">
              <w:rPr>
                <w:rFonts w:ascii="TeleNeo Office" w:eastAsia="Arial" w:hAnsi="TeleNeo Office" w:cs="Arial"/>
              </w:rPr>
              <w:t xml:space="preserve"> има </w:t>
            </w:r>
            <w:r w:rsidRPr="00823AB5">
              <w:rPr>
                <w:rFonts w:ascii="TeleNeo Office" w:eastAsia="Arial" w:hAnsi="TeleNeo Office" w:cs="Arial"/>
              </w:rPr>
              <w:t xml:space="preserve"> значително влијание врз јавната безбедност.</w:t>
            </w:r>
            <w:r w:rsidR="00D43DAF">
              <w:rPr>
                <w:rFonts w:ascii="TeleNeo Office" w:eastAsia="Arial" w:hAnsi="TeleNeo Office" w:cs="Arial"/>
              </w:rPr>
              <w:t xml:space="preserve"> </w:t>
            </w:r>
          </w:p>
        </w:tc>
      </w:tr>
      <w:tr w:rsidR="00B43EC1" w:rsidRPr="00ED46FA" w:rsidTr="00CF6108">
        <w:tc>
          <w:tcPr>
            <w:tcW w:w="1838" w:type="dxa"/>
          </w:tcPr>
          <w:p w:rsidR="00B43EC1" w:rsidRPr="00ED46FA" w:rsidRDefault="00B43EC1" w:rsidP="00B43EC1">
            <w:pPr>
              <w:spacing w:after="120" w:line="276" w:lineRule="auto"/>
              <w:jc w:val="center"/>
              <w:rPr>
                <w:rFonts w:ascii="TeleNeo Office" w:eastAsia="Arial" w:hAnsi="TeleNeo Office" w:cs="Arial"/>
                <w:b/>
              </w:rPr>
            </w:pPr>
          </w:p>
        </w:tc>
        <w:tc>
          <w:tcPr>
            <w:tcW w:w="4961" w:type="dxa"/>
          </w:tcPr>
          <w:p w:rsidR="00B43EC1" w:rsidRPr="00D43DAF" w:rsidRDefault="00D43DAF" w:rsidP="00D43DAF">
            <w:pPr>
              <w:spacing w:after="120" w:line="276" w:lineRule="auto"/>
              <w:jc w:val="both"/>
              <w:rPr>
                <w:rFonts w:ascii="TeleNeo Office" w:eastAsia="Arial" w:hAnsi="TeleNeo Office" w:cs="Arial"/>
              </w:rPr>
            </w:pPr>
            <w:r w:rsidRPr="00D43DAF">
              <w:rPr>
                <w:rFonts w:ascii="TeleNeo Office" w:eastAsia="Arial" w:hAnsi="TeleNeo Office" w:cs="Arial"/>
              </w:rPr>
              <w:t>6)</w:t>
            </w:r>
            <w:r w:rsidR="002A3155">
              <w:rPr>
                <w:rFonts w:ascii="TeleNeo Office" w:eastAsia="Arial" w:hAnsi="TeleNeo Office" w:cs="Arial"/>
              </w:rPr>
              <w:t xml:space="preserve"> </w:t>
            </w:r>
            <w:r w:rsidRPr="00D43DAF">
              <w:rPr>
                <w:rFonts w:ascii="TeleNeo Office" w:eastAsia="Arial" w:hAnsi="TeleNeo Office" w:cs="Arial"/>
              </w:rPr>
              <w:t>„инцидент“  е настан што</w:t>
            </w:r>
            <w:r w:rsidR="007F00F4">
              <w:rPr>
                <w:rFonts w:ascii="TeleNeo Office" w:eastAsia="Arial" w:hAnsi="TeleNeo Office" w:cs="Arial"/>
              </w:rPr>
              <w:t xml:space="preserve"> </w:t>
            </w:r>
            <w:r w:rsidRPr="00D43DAF">
              <w:rPr>
                <w:rFonts w:ascii="TeleNeo Office" w:eastAsia="Arial" w:hAnsi="TeleNeo Office" w:cs="Arial"/>
              </w:rPr>
              <w:t>ја загрозува достапноста, веродостојноста, интегритетот или доверливоста на складираните, пренесените или обработените податоци или на услугите што ги нудат или до кои може да се пристапи   преку  мрежните и информациските системи;</w:t>
            </w:r>
          </w:p>
        </w:tc>
        <w:tc>
          <w:tcPr>
            <w:tcW w:w="7149" w:type="dxa"/>
          </w:tcPr>
          <w:p w:rsidR="00D43DAF" w:rsidRDefault="00D43DAF" w:rsidP="00D43DAF">
            <w:pPr>
              <w:pStyle w:val="CommentText"/>
              <w:rPr>
                <w:rFonts w:ascii="TeleNeo Office" w:hAnsi="TeleNeo Office"/>
                <w:sz w:val="22"/>
                <w:szCs w:val="22"/>
              </w:rPr>
            </w:pPr>
            <w:r>
              <w:rPr>
                <w:rFonts w:ascii="TeleNeo Office" w:hAnsi="TeleNeo Office"/>
                <w:sz w:val="22"/>
                <w:szCs w:val="22"/>
              </w:rPr>
              <w:t>Н</w:t>
            </w:r>
            <w:r w:rsidRPr="00D43DAF">
              <w:rPr>
                <w:rFonts w:ascii="TeleNeo Office" w:hAnsi="TeleNeo Office"/>
                <w:sz w:val="22"/>
                <w:szCs w:val="22"/>
              </w:rPr>
              <w:t xml:space="preserve">из текстот </w:t>
            </w:r>
            <w:r>
              <w:rPr>
                <w:rFonts w:ascii="TeleNeo Office" w:hAnsi="TeleNeo Office"/>
                <w:sz w:val="22"/>
                <w:szCs w:val="22"/>
              </w:rPr>
              <w:t>постои</w:t>
            </w:r>
            <w:r w:rsidRPr="00D43DAF">
              <w:rPr>
                <w:rFonts w:ascii="TeleNeo Office" w:hAnsi="TeleNeo Office"/>
                <w:sz w:val="22"/>
                <w:szCs w:val="22"/>
              </w:rPr>
              <w:t xml:space="preserve"> терминот </w:t>
            </w:r>
            <w:r>
              <w:rPr>
                <w:rFonts w:ascii="TeleNeo Office" w:hAnsi="TeleNeo Office"/>
                <w:sz w:val="22"/>
                <w:szCs w:val="22"/>
                <w:lang w:val="en-US"/>
              </w:rPr>
              <w:t>“</w:t>
            </w:r>
            <w:r w:rsidRPr="00D43DAF">
              <w:rPr>
                <w:rFonts w:ascii="TeleNeo Office" w:hAnsi="TeleNeo Office"/>
                <w:sz w:val="22"/>
                <w:szCs w:val="22"/>
              </w:rPr>
              <w:t>сајбер безбедносни инциденти</w:t>
            </w:r>
            <w:r>
              <w:rPr>
                <w:rFonts w:ascii="TeleNeo Office" w:hAnsi="TeleNeo Office"/>
                <w:sz w:val="22"/>
                <w:szCs w:val="22"/>
                <w:lang w:val="en-US"/>
              </w:rPr>
              <w:t>”</w:t>
            </w:r>
            <w:r w:rsidRPr="00D43DAF">
              <w:rPr>
                <w:rFonts w:ascii="TeleNeo Office" w:hAnsi="TeleNeo Office"/>
                <w:sz w:val="22"/>
                <w:szCs w:val="22"/>
              </w:rPr>
              <w:t xml:space="preserve"> додека во делот дефиниции освен општо појаснување на инцидент нема јасно појаснување за овој термин. Доколку точка 6 е за сајбер инциденти или да се преформулира или терминолошки се појасни со нова точка затоа што во точка 7 има</w:t>
            </w:r>
            <w:r>
              <w:rPr>
                <w:rFonts w:ascii="TeleNeo Office" w:hAnsi="TeleNeo Office"/>
                <w:sz w:val="22"/>
                <w:szCs w:val="22"/>
                <w:lang w:val="en-US"/>
              </w:rPr>
              <w:t xml:space="preserve"> </w:t>
            </w:r>
            <w:r>
              <w:rPr>
                <w:rFonts w:ascii="TeleNeo Office" w:hAnsi="TeleNeo Office"/>
                <w:sz w:val="22"/>
                <w:szCs w:val="22"/>
              </w:rPr>
              <w:t xml:space="preserve">дефиниција за </w:t>
            </w:r>
            <w:r w:rsidRPr="00D43DAF">
              <w:rPr>
                <w:rFonts w:ascii="TeleNeo Office" w:hAnsi="TeleNeo Office"/>
                <w:sz w:val="22"/>
                <w:szCs w:val="22"/>
              </w:rPr>
              <w:t xml:space="preserve"> </w:t>
            </w:r>
            <w:r>
              <w:rPr>
                <w:rFonts w:ascii="TeleNeo Office" w:hAnsi="TeleNeo Office"/>
                <w:sz w:val="22"/>
                <w:szCs w:val="22"/>
                <w:lang w:val="en-US"/>
              </w:rPr>
              <w:t>“</w:t>
            </w:r>
            <w:r w:rsidRPr="00D43DAF">
              <w:rPr>
                <w:rFonts w:ascii="TeleNeo Office" w:hAnsi="TeleNeo Office"/>
                <w:sz w:val="22"/>
                <w:szCs w:val="22"/>
              </w:rPr>
              <w:t>сајбер безбедносни инциденти</w:t>
            </w:r>
            <w:r>
              <w:rPr>
                <w:rFonts w:ascii="TeleNeo Office" w:hAnsi="TeleNeo Office"/>
                <w:sz w:val="22"/>
                <w:szCs w:val="22"/>
                <w:lang w:val="en-US"/>
              </w:rPr>
              <w:t>”</w:t>
            </w:r>
            <w:r w:rsidRPr="00D43DAF">
              <w:rPr>
                <w:rFonts w:ascii="TeleNeo Office" w:hAnsi="TeleNeo Office"/>
                <w:sz w:val="22"/>
                <w:szCs w:val="22"/>
              </w:rPr>
              <w:t xml:space="preserve"> од големи размери.</w:t>
            </w:r>
          </w:p>
          <w:p w:rsidR="002A3155" w:rsidRPr="002A3155" w:rsidRDefault="002A3155" w:rsidP="002A3155">
            <w:pPr>
              <w:pStyle w:val="CommentText"/>
              <w:rPr>
                <w:rFonts w:ascii="TeleNeo Office" w:hAnsi="TeleNeo Office"/>
                <w:sz w:val="22"/>
                <w:szCs w:val="22"/>
              </w:rPr>
            </w:pPr>
            <w:r>
              <w:rPr>
                <w:rFonts w:ascii="TeleNeo Office" w:hAnsi="TeleNeo Office"/>
                <w:sz w:val="22"/>
                <w:szCs w:val="22"/>
              </w:rPr>
              <w:lastRenderedPageBreak/>
              <w:t>Сметаме дека треба д</w:t>
            </w:r>
            <w:r w:rsidRPr="002A3155">
              <w:rPr>
                <w:rFonts w:ascii="TeleNeo Office" w:hAnsi="TeleNeo Office"/>
                <w:sz w:val="22"/>
                <w:szCs w:val="22"/>
              </w:rPr>
              <w:t xml:space="preserve">а се даде јасна дефиниција на поимот инцидент, притоа да се има предвид разликата меѓу инцидент и безбедносен инцидент. </w:t>
            </w:r>
          </w:p>
          <w:p w:rsidR="00B43EC1" w:rsidRPr="00ED46FA" w:rsidRDefault="002A3155" w:rsidP="002A3155">
            <w:pPr>
              <w:pStyle w:val="CommentText"/>
              <w:rPr>
                <w:rFonts w:ascii="TeleNeo Office" w:eastAsia="Arial" w:hAnsi="TeleNeo Office" w:cs="Arial"/>
                <w:b/>
                <w:sz w:val="22"/>
                <w:szCs w:val="22"/>
              </w:rPr>
            </w:pPr>
            <w:r w:rsidRPr="002A3155">
              <w:rPr>
                <w:rFonts w:ascii="TeleNeo Office" w:hAnsi="TeleNeo Office"/>
                <w:sz w:val="22"/>
                <w:szCs w:val="22"/>
              </w:rPr>
              <w:t>Дополнително, потребно е да се дефинираат јасни прагови за одредување на големината/значајноста на инцидентот</w:t>
            </w:r>
            <w:r w:rsidR="001B2135">
              <w:rPr>
                <w:rFonts w:ascii="TeleNeo Office" w:hAnsi="TeleNeo Office"/>
                <w:sz w:val="22"/>
                <w:szCs w:val="22"/>
              </w:rPr>
              <w:t>, на пример во член 34.</w:t>
            </w:r>
          </w:p>
        </w:tc>
      </w:tr>
      <w:tr w:rsidR="00B43EC1" w:rsidRPr="00ED46FA" w:rsidTr="00CF6108">
        <w:trPr>
          <w:trHeight w:val="1521"/>
        </w:trPr>
        <w:tc>
          <w:tcPr>
            <w:tcW w:w="1838" w:type="dxa"/>
          </w:tcPr>
          <w:p w:rsidR="00A44A96" w:rsidRPr="00541947" w:rsidRDefault="00A44A96" w:rsidP="00A44A96">
            <w:pPr>
              <w:spacing w:after="120" w:line="276" w:lineRule="auto"/>
              <w:jc w:val="center"/>
              <w:rPr>
                <w:rFonts w:ascii="TeleNeo Office" w:eastAsia="Arial" w:hAnsi="TeleNeo Office" w:cs="Arial"/>
                <w:b/>
                <w:color w:val="000000"/>
              </w:rPr>
            </w:pPr>
            <w:r w:rsidRPr="00541947">
              <w:rPr>
                <w:rFonts w:ascii="TeleNeo Office" w:eastAsia="Arial" w:hAnsi="TeleNeo Office" w:cs="Arial"/>
                <w:b/>
                <w:color w:val="000000"/>
              </w:rPr>
              <w:lastRenderedPageBreak/>
              <w:t>Член 28</w:t>
            </w:r>
          </w:p>
          <w:p w:rsidR="00B43EC1" w:rsidRPr="00541947" w:rsidRDefault="00A44A96" w:rsidP="00507C42">
            <w:pPr>
              <w:jc w:val="center"/>
              <w:rPr>
                <w:rFonts w:ascii="TeleNeo Office" w:eastAsia="Arial" w:hAnsi="TeleNeo Office" w:cs="Arial"/>
                <w:b/>
              </w:rPr>
            </w:pPr>
            <w:r w:rsidRPr="00541947">
              <w:rPr>
                <w:rFonts w:ascii="TeleNeo Office" w:eastAsia="Arial" w:hAnsi="TeleNeo Office" w:cs="Arial"/>
                <w:b/>
                <w:color w:val="000000"/>
              </w:rPr>
              <w:t>Оператори на суштински услуги и оператори на важни услуги</w:t>
            </w:r>
          </w:p>
        </w:tc>
        <w:tc>
          <w:tcPr>
            <w:tcW w:w="4961" w:type="dxa"/>
          </w:tcPr>
          <w:p w:rsidR="00B43EC1" w:rsidRPr="00ED46FA" w:rsidRDefault="00A44A96" w:rsidP="00507C42">
            <w:pPr>
              <w:pStyle w:val="NormalWeb"/>
              <w:shd w:val="clear" w:color="auto" w:fill="FFFFFF"/>
              <w:spacing w:before="0" w:beforeAutospacing="0" w:after="120" w:afterAutospacing="0"/>
              <w:jc w:val="both"/>
              <w:rPr>
                <w:rFonts w:ascii="TeleNeo Office" w:eastAsia="Arial" w:hAnsi="TeleNeo Office" w:cs="Arial"/>
                <w:b/>
              </w:rPr>
            </w:pPr>
            <w:r w:rsidRPr="00A44A96">
              <w:rPr>
                <w:rFonts w:ascii="TeleNeo Office" w:hAnsi="TeleNeo Office" w:cs="Arial"/>
                <w:color w:val="222222"/>
                <w:sz w:val="22"/>
                <w:szCs w:val="22"/>
              </w:rPr>
              <w:t>(5) Агенцијата води Регистар на оператори на суштински услуги и оператори на важни услуги согласно ставот (3) на овој член. Регистарот не е јавно достапен и истиот</w:t>
            </w:r>
            <w:r w:rsidR="008B54E7">
              <w:rPr>
                <w:rFonts w:ascii="TeleNeo Office" w:hAnsi="TeleNeo Office" w:cs="Arial"/>
                <w:color w:val="222222"/>
                <w:sz w:val="22"/>
                <w:szCs w:val="22"/>
              </w:rPr>
              <w:t xml:space="preserve"> </w:t>
            </w:r>
            <w:r w:rsidRPr="00A44A96">
              <w:rPr>
                <w:rFonts w:ascii="TeleNeo Office" w:hAnsi="TeleNeo Office" w:cs="Arial"/>
                <w:color w:val="222222"/>
                <w:sz w:val="22"/>
                <w:szCs w:val="22"/>
              </w:rPr>
              <w:t>редовно се ажурира.</w:t>
            </w:r>
          </w:p>
        </w:tc>
        <w:tc>
          <w:tcPr>
            <w:tcW w:w="7149" w:type="dxa"/>
          </w:tcPr>
          <w:p w:rsidR="008B54E7" w:rsidRPr="008B54E7" w:rsidRDefault="00A44A96" w:rsidP="00507C42">
            <w:pPr>
              <w:jc w:val="both"/>
              <w:rPr>
                <w:rFonts w:ascii="TeleNeo Office" w:eastAsia="Arial" w:hAnsi="TeleNeo Office" w:cs="Arial"/>
              </w:rPr>
            </w:pPr>
            <w:r w:rsidRPr="00A44A96">
              <w:rPr>
                <w:rFonts w:ascii="TeleNeo Office" w:eastAsia="Arial" w:hAnsi="TeleNeo Office" w:cs="Arial"/>
              </w:rPr>
              <w:t xml:space="preserve">Сметаме дека </w:t>
            </w:r>
            <w:r w:rsidR="008B54E7">
              <w:rPr>
                <w:rFonts w:ascii="TeleNeo Office" w:eastAsia="Arial" w:hAnsi="TeleNeo Office" w:cs="Arial"/>
              </w:rPr>
              <w:t xml:space="preserve">регистарот на оператори на </w:t>
            </w:r>
            <w:r w:rsidR="008B54E7" w:rsidRPr="00A44A96">
              <w:rPr>
                <w:rFonts w:ascii="TeleNeo Office" w:hAnsi="TeleNeo Office" w:cs="Arial"/>
                <w:color w:val="222222"/>
              </w:rPr>
              <w:t>суштински услуги и оператори на важни услуги</w:t>
            </w:r>
            <w:r w:rsidR="008B54E7">
              <w:rPr>
                <w:rFonts w:ascii="TeleNeo Office" w:eastAsia="Arial" w:hAnsi="TeleNeo Office" w:cs="Arial"/>
              </w:rPr>
              <w:t xml:space="preserve"> треба да биде јавно достапен</w:t>
            </w:r>
            <w:r w:rsidR="007F00F4">
              <w:rPr>
                <w:rFonts w:ascii="TeleNeo Office" w:eastAsia="Arial" w:hAnsi="TeleNeo Office" w:cs="Arial"/>
              </w:rPr>
              <w:t>. Ова од причина што д</w:t>
            </w:r>
            <w:r w:rsidR="008B54E7">
              <w:rPr>
                <w:rFonts w:ascii="TeleNeo Office" w:eastAsia="Arial" w:hAnsi="TeleNeo Office" w:cs="Arial"/>
              </w:rPr>
              <w:t>ок</w:t>
            </w:r>
            <w:r w:rsidR="00B25945">
              <w:rPr>
                <w:rFonts w:ascii="TeleNeo Office" w:eastAsia="Arial" w:hAnsi="TeleNeo Office" w:cs="Arial"/>
              </w:rPr>
              <w:t>о</w:t>
            </w:r>
            <w:r w:rsidR="008B54E7">
              <w:rPr>
                <w:rFonts w:ascii="TeleNeo Office" w:eastAsia="Arial" w:hAnsi="TeleNeo Office" w:cs="Arial"/>
              </w:rPr>
              <w:t xml:space="preserve">лку </w:t>
            </w:r>
            <w:r w:rsidR="007F00F4">
              <w:rPr>
                <w:rFonts w:ascii="TeleNeo Office" w:eastAsia="Arial" w:hAnsi="TeleNeo Office" w:cs="Arial"/>
              </w:rPr>
              <w:t>субјектите од тој регистар имаат</w:t>
            </w:r>
            <w:r w:rsidR="008B54E7">
              <w:rPr>
                <w:rFonts w:ascii="TeleNeo Office" w:eastAsia="Arial" w:hAnsi="TeleNeo Office" w:cs="Arial"/>
              </w:rPr>
              <w:t xml:space="preserve"> потреба од соработка со некој </w:t>
            </w:r>
            <w:r w:rsidR="007F00F4">
              <w:rPr>
                <w:rFonts w:ascii="TeleNeo Office" w:eastAsia="Arial" w:hAnsi="TeleNeo Office" w:cs="Arial"/>
              </w:rPr>
              <w:t xml:space="preserve">друг </w:t>
            </w:r>
            <w:r w:rsidR="008B54E7">
              <w:rPr>
                <w:rFonts w:ascii="TeleNeo Office" w:eastAsia="Arial" w:hAnsi="TeleNeo Office" w:cs="Arial"/>
              </w:rPr>
              <w:t xml:space="preserve">субјект потребно да </w:t>
            </w:r>
            <w:r w:rsidR="007F00F4">
              <w:rPr>
                <w:rFonts w:ascii="TeleNeo Office" w:eastAsia="Arial" w:hAnsi="TeleNeo Office" w:cs="Arial"/>
              </w:rPr>
              <w:t xml:space="preserve">се </w:t>
            </w:r>
            <w:r w:rsidR="008B54E7">
              <w:rPr>
                <w:rFonts w:ascii="TeleNeo Office" w:eastAsia="Arial" w:hAnsi="TeleNeo Office" w:cs="Arial"/>
              </w:rPr>
              <w:t>знае кои се неговит</w:t>
            </w:r>
            <w:r w:rsidR="006C494C">
              <w:rPr>
                <w:rFonts w:ascii="TeleNeo Office" w:eastAsia="Arial" w:hAnsi="TeleNeo Office" w:cs="Arial"/>
              </w:rPr>
              <w:t>е</w:t>
            </w:r>
            <w:r w:rsidR="008B54E7">
              <w:rPr>
                <w:rFonts w:ascii="TeleNeo Office" w:eastAsia="Arial" w:hAnsi="TeleNeo Office" w:cs="Arial"/>
              </w:rPr>
              <w:t xml:space="preserve"> се обврски и статус.</w:t>
            </w:r>
          </w:p>
        </w:tc>
      </w:tr>
      <w:tr w:rsidR="00B43EC1" w:rsidRPr="00ED46FA" w:rsidTr="00CF6108">
        <w:tc>
          <w:tcPr>
            <w:tcW w:w="1838" w:type="dxa"/>
          </w:tcPr>
          <w:p w:rsidR="00DC0435" w:rsidRPr="00541947" w:rsidRDefault="00DC0435" w:rsidP="00DC0435">
            <w:pPr>
              <w:spacing w:after="120" w:line="276" w:lineRule="auto"/>
              <w:jc w:val="center"/>
              <w:rPr>
                <w:rFonts w:ascii="TeleNeo Office" w:eastAsia="Arial" w:hAnsi="TeleNeo Office" w:cs="Arial"/>
                <w:b/>
                <w:color w:val="000000"/>
              </w:rPr>
            </w:pPr>
            <w:r w:rsidRPr="00541947">
              <w:rPr>
                <w:rFonts w:ascii="TeleNeo Office" w:eastAsia="Arial" w:hAnsi="TeleNeo Office" w:cs="Arial"/>
                <w:b/>
                <w:color w:val="000000"/>
              </w:rPr>
              <w:t>Член 28</w:t>
            </w:r>
          </w:p>
          <w:p w:rsidR="00B43EC1" w:rsidRPr="00541947" w:rsidRDefault="00DC0435" w:rsidP="00DC0435">
            <w:pPr>
              <w:jc w:val="center"/>
              <w:rPr>
                <w:rFonts w:ascii="TeleNeo Office" w:eastAsia="Arial" w:hAnsi="TeleNeo Office" w:cs="Arial"/>
                <w:b/>
              </w:rPr>
            </w:pPr>
            <w:r w:rsidRPr="00541947">
              <w:rPr>
                <w:rFonts w:ascii="TeleNeo Office" w:eastAsia="Arial" w:hAnsi="TeleNeo Office" w:cs="Arial"/>
                <w:b/>
                <w:color w:val="000000"/>
              </w:rPr>
              <w:t>Оператори на суштински услуги и оператори на важни услуги</w:t>
            </w:r>
          </w:p>
        </w:tc>
        <w:tc>
          <w:tcPr>
            <w:tcW w:w="4961" w:type="dxa"/>
          </w:tcPr>
          <w:p w:rsidR="00B43EC1" w:rsidRPr="00ED46FA" w:rsidRDefault="008B54E7" w:rsidP="00DC0435">
            <w:pPr>
              <w:pStyle w:val="NormalWeb"/>
              <w:shd w:val="clear" w:color="auto" w:fill="FFFFFF"/>
              <w:spacing w:before="0" w:beforeAutospacing="0" w:after="120" w:afterAutospacing="0"/>
              <w:jc w:val="both"/>
              <w:rPr>
                <w:rFonts w:ascii="TeleNeo Office" w:eastAsia="Arial" w:hAnsi="TeleNeo Office" w:cs="Arial"/>
                <w:b/>
                <w:sz w:val="22"/>
                <w:szCs w:val="22"/>
              </w:rPr>
            </w:pPr>
            <w:r w:rsidRPr="008B54E7">
              <w:rPr>
                <w:rFonts w:ascii="TeleNeo Office" w:hAnsi="TeleNeo Office" w:cs="Arial"/>
                <w:color w:val="222222"/>
                <w:sz w:val="22"/>
                <w:szCs w:val="22"/>
              </w:rPr>
              <w:t>(10) Пред да го донесе подзаконскиот акт од ставот (8) на овој член Агенцијата е должна да да се консултира со субјектите од ставот (3) на овој член и да ги земе предвид нивните мислења и забелешки</w:t>
            </w:r>
            <w:r w:rsidR="00DC0435">
              <w:rPr>
                <w:rFonts w:ascii="TeleNeo Office" w:hAnsi="TeleNeo Office" w:cs="Arial"/>
                <w:color w:val="222222"/>
                <w:sz w:val="22"/>
                <w:szCs w:val="22"/>
              </w:rPr>
              <w:t xml:space="preserve"> </w:t>
            </w:r>
          </w:p>
        </w:tc>
        <w:tc>
          <w:tcPr>
            <w:tcW w:w="7149" w:type="dxa"/>
          </w:tcPr>
          <w:p w:rsidR="00D95631" w:rsidRDefault="00D95631" w:rsidP="00DC0435">
            <w:pPr>
              <w:rPr>
                <w:rFonts w:ascii="TeleNeo Office" w:eastAsia="Arial" w:hAnsi="TeleNeo Office" w:cs="Arial"/>
                <w:lang w:val="en-US"/>
              </w:rPr>
            </w:pPr>
            <w:r>
              <w:rPr>
                <w:rFonts w:ascii="TeleNeo Office" w:eastAsia="Arial" w:hAnsi="TeleNeo Office" w:cs="Arial"/>
              </w:rPr>
              <w:t>Предлагаме наместо општата предложена одредба да се вметне попрецизна одредба како што следи</w:t>
            </w:r>
            <w:r>
              <w:rPr>
                <w:rFonts w:ascii="TeleNeo Office" w:eastAsia="Arial" w:hAnsi="TeleNeo Office" w:cs="Arial"/>
                <w:lang w:val="en-US"/>
              </w:rPr>
              <w:t>:</w:t>
            </w:r>
          </w:p>
          <w:p w:rsidR="00B43EC1" w:rsidRPr="008B54E7" w:rsidRDefault="00D95631" w:rsidP="00DC0435">
            <w:pPr>
              <w:rPr>
                <w:rFonts w:ascii="TeleNeo Office" w:eastAsia="Arial" w:hAnsi="TeleNeo Office" w:cs="Arial"/>
              </w:rPr>
            </w:pPr>
            <w:r>
              <w:rPr>
                <w:rFonts w:ascii="TeleNeo Office" w:eastAsia="Arial" w:hAnsi="TeleNeo Office" w:cs="Arial"/>
                <w:lang w:val="en-US"/>
              </w:rPr>
              <w:t xml:space="preserve">(10) </w:t>
            </w:r>
            <w:r w:rsidR="008B54E7" w:rsidRPr="008B54E7">
              <w:rPr>
                <w:rFonts w:ascii="TeleNeo Office" w:eastAsia="Arial" w:hAnsi="TeleNeo Office" w:cs="Arial"/>
              </w:rPr>
              <w:t>Пред да го донесе подзаконскиот акт од ставот (8) на овој член Агенцијата е должна да објави јавна расправа за период не пократок од 30 дена</w:t>
            </w:r>
            <w:r>
              <w:rPr>
                <w:rFonts w:ascii="TeleNeo Office" w:eastAsia="Arial" w:hAnsi="TeleNeo Office" w:cs="Arial"/>
              </w:rPr>
              <w:t>,</w:t>
            </w:r>
            <w:r w:rsidR="008B54E7" w:rsidRPr="008B54E7">
              <w:rPr>
                <w:rFonts w:ascii="TeleNeo Office" w:eastAsia="Arial" w:hAnsi="TeleNeo Office" w:cs="Arial"/>
              </w:rPr>
              <w:t xml:space="preserve"> </w:t>
            </w:r>
            <w:r w:rsidR="008B54E7">
              <w:rPr>
                <w:rFonts w:ascii="TeleNeo Office" w:eastAsia="Arial" w:hAnsi="TeleNeo Office" w:cs="Arial"/>
              </w:rPr>
              <w:t>за да можат сите сите заинтересирани субјекти да ги достават своите коментари. Сите пристигнати комен</w:t>
            </w:r>
            <w:r w:rsidR="00FC035B">
              <w:rPr>
                <w:rFonts w:ascii="TeleNeo Office" w:eastAsia="Arial" w:hAnsi="TeleNeo Office" w:cs="Arial"/>
              </w:rPr>
              <w:t>тари</w:t>
            </w:r>
            <w:r w:rsidR="008B54E7">
              <w:rPr>
                <w:rFonts w:ascii="TeleNeo Office" w:eastAsia="Arial" w:hAnsi="TeleNeo Office" w:cs="Arial"/>
              </w:rPr>
              <w:t xml:space="preserve"> треба да бидат објавени на веб страната на агенцијата. Стручните служби на </w:t>
            </w:r>
            <w:r w:rsidR="00B12D63">
              <w:rPr>
                <w:rFonts w:ascii="TeleNeo Office" w:eastAsia="Arial" w:hAnsi="TeleNeo Office" w:cs="Arial"/>
              </w:rPr>
              <w:t>А</w:t>
            </w:r>
            <w:r w:rsidR="008B54E7">
              <w:rPr>
                <w:rFonts w:ascii="TeleNeo Office" w:eastAsia="Arial" w:hAnsi="TeleNeo Office" w:cs="Arial"/>
              </w:rPr>
              <w:t>генцијата треба да се произнесат по доставените коментари со напомена дали се прифатени и образложение док</w:t>
            </w:r>
            <w:r w:rsidR="00DC0435">
              <w:rPr>
                <w:rFonts w:ascii="TeleNeo Office" w:eastAsia="Arial" w:hAnsi="TeleNeo Office" w:cs="Arial"/>
              </w:rPr>
              <w:t>о</w:t>
            </w:r>
            <w:r w:rsidR="008B54E7">
              <w:rPr>
                <w:rFonts w:ascii="TeleNeo Office" w:eastAsia="Arial" w:hAnsi="TeleNeo Office" w:cs="Arial"/>
              </w:rPr>
              <w:t>лку не се прифатени.</w:t>
            </w:r>
            <w:r w:rsidR="00DC0435">
              <w:rPr>
                <w:rFonts w:ascii="TeleNeo Office" w:eastAsia="Arial" w:hAnsi="TeleNeo Office" w:cs="Arial"/>
              </w:rPr>
              <w:t xml:space="preserve"> </w:t>
            </w:r>
          </w:p>
        </w:tc>
      </w:tr>
      <w:tr w:rsidR="00DC0435" w:rsidRPr="00ED46FA" w:rsidTr="00CF6108">
        <w:tc>
          <w:tcPr>
            <w:tcW w:w="1838" w:type="dxa"/>
          </w:tcPr>
          <w:p w:rsidR="00DC0435" w:rsidRDefault="00DC0435" w:rsidP="00B43EC1">
            <w:pPr>
              <w:spacing w:after="120" w:line="276" w:lineRule="auto"/>
              <w:jc w:val="center"/>
              <w:rPr>
                <w:rFonts w:ascii="TeleNeo Office" w:eastAsia="Arial" w:hAnsi="TeleNeo Office" w:cs="Arial"/>
                <w:b/>
              </w:rPr>
            </w:pPr>
            <w:r w:rsidRPr="00DC0435">
              <w:rPr>
                <w:rFonts w:ascii="TeleNeo Office" w:eastAsia="Arial" w:hAnsi="TeleNeo Office" w:cs="Arial"/>
                <w:b/>
              </w:rPr>
              <w:t>Член 39</w:t>
            </w:r>
          </w:p>
          <w:p w:rsidR="00DC0435" w:rsidRPr="00ED46FA" w:rsidRDefault="00DC0435" w:rsidP="00B43EC1">
            <w:pPr>
              <w:spacing w:after="120" w:line="276" w:lineRule="auto"/>
              <w:jc w:val="center"/>
              <w:rPr>
                <w:rFonts w:ascii="TeleNeo Office" w:eastAsia="Arial" w:hAnsi="TeleNeo Office" w:cs="Arial"/>
                <w:b/>
              </w:rPr>
            </w:pPr>
            <w:r w:rsidRPr="00DC0435">
              <w:rPr>
                <w:rFonts w:ascii="TeleNeo Office" w:eastAsia="Arial" w:hAnsi="TeleNeo Office" w:cs="Arial"/>
                <w:b/>
              </w:rPr>
              <w:t>Задачи на MKD-CSIRT</w:t>
            </w:r>
          </w:p>
        </w:tc>
        <w:tc>
          <w:tcPr>
            <w:tcW w:w="4961" w:type="dxa"/>
          </w:tcPr>
          <w:p w:rsidR="00DC0435" w:rsidRPr="00DC0435" w:rsidRDefault="00DC0435" w:rsidP="00507C42">
            <w:pPr>
              <w:pStyle w:val="ListParagraph"/>
              <w:numPr>
                <w:ilvl w:val="0"/>
                <w:numId w:val="4"/>
              </w:numPr>
              <w:shd w:val="clear" w:color="auto" w:fill="FFFFFF"/>
              <w:spacing w:before="134"/>
              <w:ind w:left="448" w:hanging="448"/>
              <w:jc w:val="both"/>
              <w:rPr>
                <w:rFonts w:ascii="TeleNeo Office" w:hAnsi="TeleNeo Office" w:cs="Arial"/>
                <w:color w:val="222222"/>
              </w:rPr>
            </w:pPr>
            <w:r w:rsidRPr="00DC0435">
              <w:rPr>
                <w:rFonts w:ascii="TeleNeo Office" w:eastAsia="Times New Roman" w:hAnsi="TeleNeo Office" w:cs="Arial"/>
              </w:rPr>
              <w:t>MKD-CSIRT може да спроведува проактивно неинтрузивно скенирање на јавно достапни мрежни и информациски системи на операторите на суштински услуги и операторите на важни услуги. Скенирањето се врши со цел да се откријат ранливи или несигурно конфигурирани мрежни и информациски системи и како би се  информирале засегнатите субјекти. Ваквото скенирање не треба  да има негативно влијание  врз функционирањето на услугите кои ги обезбедува операторот</w:t>
            </w:r>
          </w:p>
        </w:tc>
        <w:tc>
          <w:tcPr>
            <w:tcW w:w="7149" w:type="dxa"/>
          </w:tcPr>
          <w:p w:rsidR="00DC0435" w:rsidRPr="008B54E7" w:rsidRDefault="00DC0435" w:rsidP="00DC0435">
            <w:pPr>
              <w:rPr>
                <w:rFonts w:ascii="TeleNeo Office" w:eastAsia="Arial" w:hAnsi="TeleNeo Office" w:cs="Arial"/>
              </w:rPr>
            </w:pPr>
            <w:r>
              <w:rPr>
                <w:rFonts w:ascii="TeleNeo Office" w:eastAsia="Arial" w:hAnsi="TeleNeo Office" w:cs="Arial"/>
              </w:rPr>
              <w:t>Сметаме дека скенирањето</w:t>
            </w:r>
            <w:r w:rsidR="00D95631">
              <w:rPr>
                <w:rFonts w:ascii="TeleNeo Office" w:eastAsia="Arial" w:hAnsi="TeleNeo Office" w:cs="Arial"/>
              </w:rPr>
              <w:t xml:space="preserve"> на</w:t>
            </w:r>
            <w:r>
              <w:rPr>
                <w:rFonts w:ascii="TeleNeo Office" w:eastAsia="Arial" w:hAnsi="TeleNeo Office" w:cs="Arial"/>
              </w:rPr>
              <w:t xml:space="preserve"> </w:t>
            </w:r>
            <w:r w:rsidRPr="00DC0435">
              <w:rPr>
                <w:rFonts w:ascii="TeleNeo Office" w:eastAsia="Arial" w:hAnsi="TeleNeo Office" w:cs="Arial"/>
              </w:rPr>
              <w:t>јавно достапни мрежни и информациски системи на операторите на суштински услуги и операторите на важни услуги</w:t>
            </w:r>
            <w:r>
              <w:rPr>
                <w:rFonts w:ascii="TeleNeo Office" w:eastAsia="Arial" w:hAnsi="TeleNeo Office" w:cs="Arial"/>
              </w:rPr>
              <w:t xml:space="preserve"> треба да се прави со претходна </w:t>
            </w:r>
            <w:r w:rsidR="00FC035B">
              <w:rPr>
                <w:rFonts w:ascii="TeleNeo Office" w:eastAsia="Arial" w:hAnsi="TeleNeo Office" w:cs="Arial"/>
              </w:rPr>
              <w:t xml:space="preserve">навремена </w:t>
            </w:r>
            <w:r>
              <w:rPr>
                <w:rFonts w:ascii="TeleNeo Office" w:eastAsia="Arial" w:hAnsi="TeleNeo Office" w:cs="Arial"/>
              </w:rPr>
              <w:t>најава (информација ) до операторот.</w:t>
            </w:r>
          </w:p>
        </w:tc>
      </w:tr>
      <w:tr w:rsidR="00DC0435" w:rsidRPr="00ED46FA" w:rsidTr="00CF6108">
        <w:tc>
          <w:tcPr>
            <w:tcW w:w="1838" w:type="dxa"/>
          </w:tcPr>
          <w:p w:rsidR="00DC0435" w:rsidRDefault="00DC0435" w:rsidP="00DC0435">
            <w:pPr>
              <w:spacing w:after="120" w:line="276" w:lineRule="auto"/>
              <w:jc w:val="center"/>
              <w:rPr>
                <w:rFonts w:ascii="TeleNeo Office" w:eastAsia="Arial" w:hAnsi="TeleNeo Office" w:cs="Arial"/>
                <w:b/>
              </w:rPr>
            </w:pPr>
            <w:r w:rsidRPr="00DC0435">
              <w:rPr>
                <w:rFonts w:ascii="TeleNeo Office" w:eastAsia="Arial" w:hAnsi="TeleNeo Office" w:cs="Arial"/>
                <w:b/>
              </w:rPr>
              <w:t>Член 43</w:t>
            </w:r>
          </w:p>
          <w:p w:rsidR="00491A48" w:rsidRPr="00DC0435" w:rsidRDefault="00491A48" w:rsidP="00491A48">
            <w:pPr>
              <w:spacing w:after="120" w:line="276" w:lineRule="auto"/>
              <w:jc w:val="center"/>
              <w:rPr>
                <w:rFonts w:ascii="TeleNeo Office" w:eastAsia="Arial" w:hAnsi="TeleNeo Office" w:cs="Arial"/>
                <w:b/>
              </w:rPr>
            </w:pPr>
            <w:r w:rsidRPr="00DC0435">
              <w:rPr>
                <w:rFonts w:ascii="TeleNeo Office" w:eastAsia="Arial" w:hAnsi="TeleNeo Office" w:cs="Arial"/>
                <w:b/>
              </w:rPr>
              <w:lastRenderedPageBreak/>
              <w:t>Обврски за известување</w:t>
            </w:r>
          </w:p>
          <w:p w:rsidR="00491A48" w:rsidRPr="00ED46FA" w:rsidRDefault="00491A48" w:rsidP="00DC0435">
            <w:pPr>
              <w:spacing w:after="120" w:line="276" w:lineRule="auto"/>
              <w:jc w:val="center"/>
              <w:rPr>
                <w:rFonts w:ascii="TeleNeo Office" w:eastAsia="Arial" w:hAnsi="TeleNeo Office" w:cs="Arial"/>
                <w:b/>
              </w:rPr>
            </w:pPr>
          </w:p>
        </w:tc>
        <w:tc>
          <w:tcPr>
            <w:tcW w:w="4961" w:type="dxa"/>
          </w:tcPr>
          <w:p w:rsidR="00DC0435" w:rsidRPr="00DC0435" w:rsidRDefault="00DC0435" w:rsidP="00877C86">
            <w:pPr>
              <w:pStyle w:val="NormalWeb"/>
              <w:shd w:val="clear" w:color="auto" w:fill="FFFFFF"/>
              <w:spacing w:before="0" w:beforeAutospacing="0" w:after="0" w:afterAutospacing="0"/>
              <w:jc w:val="both"/>
              <w:rPr>
                <w:rFonts w:ascii="TeleNeo Office" w:hAnsi="TeleNeo Office" w:cs="Arial"/>
                <w:color w:val="222222"/>
                <w:sz w:val="22"/>
                <w:szCs w:val="22"/>
              </w:rPr>
            </w:pPr>
            <w:r w:rsidRPr="00DC0435">
              <w:rPr>
                <w:rFonts w:ascii="TeleNeo Office" w:hAnsi="TeleNeo Office" w:cs="Arial"/>
                <w:color w:val="222222"/>
                <w:sz w:val="22"/>
                <w:szCs w:val="22"/>
              </w:rPr>
              <w:lastRenderedPageBreak/>
              <w:t>(4)</w:t>
            </w:r>
            <w:r w:rsidRPr="00DC0435">
              <w:rPr>
                <w:rFonts w:ascii="TeleNeo Office" w:hAnsi="TeleNeo Office" w:cs="Arial"/>
                <w:color w:val="222222"/>
                <w:sz w:val="22"/>
                <w:szCs w:val="22"/>
              </w:rPr>
              <w:tab/>
              <w:t xml:space="preserve">Со цел исполнување на обврските од ставовите (1) и (2) на овој член, операторите на </w:t>
            </w:r>
            <w:r w:rsidRPr="00DC0435">
              <w:rPr>
                <w:rFonts w:ascii="TeleNeo Office" w:hAnsi="TeleNeo Office" w:cs="Arial"/>
                <w:color w:val="222222"/>
                <w:sz w:val="22"/>
                <w:szCs w:val="22"/>
              </w:rPr>
              <w:lastRenderedPageBreak/>
              <w:t>суштински услуги и операторите на важни услуги се должни на MKD-CSIRT, да ѝдостават:</w:t>
            </w:r>
          </w:p>
          <w:p w:rsidR="00DC0435" w:rsidRPr="008B54E7" w:rsidRDefault="00DC0435" w:rsidP="00DC0435">
            <w:pPr>
              <w:pStyle w:val="NormalWeb"/>
              <w:shd w:val="clear" w:color="auto" w:fill="FFFFFF"/>
              <w:spacing w:before="0" w:beforeAutospacing="0" w:after="120" w:afterAutospacing="0"/>
              <w:jc w:val="both"/>
              <w:rPr>
                <w:rFonts w:ascii="TeleNeo Office" w:hAnsi="TeleNeo Office" w:cs="Arial"/>
                <w:color w:val="222222"/>
                <w:sz w:val="22"/>
                <w:szCs w:val="22"/>
              </w:rPr>
            </w:pPr>
            <w:r w:rsidRPr="00DC0435">
              <w:rPr>
                <w:rFonts w:ascii="TeleNeo Office" w:hAnsi="TeleNeo Office" w:cs="Arial"/>
                <w:color w:val="222222"/>
                <w:sz w:val="22"/>
                <w:szCs w:val="22"/>
              </w:rPr>
              <w:t>a.</w:t>
            </w:r>
            <w:r w:rsidRPr="00DC0435">
              <w:rPr>
                <w:rFonts w:ascii="TeleNeo Office" w:hAnsi="TeleNeo Office" w:cs="Arial"/>
                <w:color w:val="222222"/>
                <w:sz w:val="22"/>
                <w:szCs w:val="22"/>
              </w:rPr>
              <w:tab/>
              <w:t>во рок од 24 часа од дознавањето за значителниот инцидент,</w:t>
            </w:r>
            <w:r>
              <w:rPr>
                <w:rFonts w:ascii="TeleNeo Office" w:hAnsi="TeleNeo Office" w:cs="Arial"/>
                <w:color w:val="222222"/>
                <w:sz w:val="22"/>
                <w:szCs w:val="22"/>
              </w:rPr>
              <w:t xml:space="preserve"> </w:t>
            </w:r>
            <w:r w:rsidRPr="00DC0435">
              <w:rPr>
                <w:rFonts w:ascii="TeleNeo Office" w:hAnsi="TeleNeo Office" w:cs="Arial"/>
                <w:color w:val="222222"/>
                <w:sz w:val="22"/>
                <w:szCs w:val="22"/>
              </w:rPr>
              <w:t>рано предупредување  во коешто доколку  е соодветно, ќе се наведе дали постои сомневање дека значителниот инцидент е предизвикан од незаконско или злонамерно дејствување или може да има прекугранично влијание;</w:t>
            </w:r>
          </w:p>
        </w:tc>
        <w:tc>
          <w:tcPr>
            <w:tcW w:w="7149" w:type="dxa"/>
          </w:tcPr>
          <w:p w:rsidR="00DC0435" w:rsidRDefault="00DC0435" w:rsidP="00DC0435">
            <w:pPr>
              <w:rPr>
                <w:rFonts w:ascii="TeleNeo Office" w:eastAsia="Arial" w:hAnsi="TeleNeo Office" w:cs="Arial"/>
              </w:rPr>
            </w:pPr>
            <w:r w:rsidRPr="00DC0435">
              <w:rPr>
                <w:rFonts w:ascii="TeleNeo Office" w:eastAsia="Arial" w:hAnsi="TeleNeo Office" w:cs="Arial"/>
              </w:rPr>
              <w:lastRenderedPageBreak/>
              <w:t>Во теоријата и пракса постојат пријави по инциденти и инциденти по кои е потребно да се постапи и истр</w:t>
            </w:r>
            <w:r>
              <w:rPr>
                <w:rFonts w:ascii="TeleNeo Office" w:eastAsia="Arial" w:hAnsi="TeleNeo Office" w:cs="Arial"/>
              </w:rPr>
              <w:t>а</w:t>
            </w:r>
            <w:r w:rsidRPr="00DC0435">
              <w:rPr>
                <w:rFonts w:ascii="TeleNeo Office" w:eastAsia="Arial" w:hAnsi="TeleNeo Office" w:cs="Arial"/>
              </w:rPr>
              <w:t xml:space="preserve">жи во рок поголем од 24 часа за да се </w:t>
            </w:r>
            <w:r w:rsidRPr="00DC0435">
              <w:rPr>
                <w:rFonts w:ascii="TeleNeo Office" w:eastAsia="Arial" w:hAnsi="TeleNeo Office" w:cs="Arial"/>
              </w:rPr>
              <w:lastRenderedPageBreak/>
              <w:t>направи дистинкција дали се работи за инцидент или не. Р</w:t>
            </w:r>
            <w:r>
              <w:rPr>
                <w:rFonts w:ascii="TeleNeo Office" w:eastAsia="Arial" w:hAnsi="TeleNeo Office" w:cs="Arial"/>
              </w:rPr>
              <w:t>о</w:t>
            </w:r>
            <w:r w:rsidRPr="00DC0435">
              <w:rPr>
                <w:rFonts w:ascii="TeleNeo Office" w:eastAsia="Arial" w:hAnsi="TeleNeo Office" w:cs="Arial"/>
              </w:rPr>
              <w:t>ковите и према други државни органи се подолги од 24 часа на пример 72 часа кон АЗЛП. Од таа причина 24 часа е многу краток рок</w:t>
            </w:r>
            <w:r>
              <w:rPr>
                <w:rFonts w:ascii="TeleNeo Office" w:eastAsia="Arial" w:hAnsi="TeleNeo Office" w:cs="Arial"/>
              </w:rPr>
              <w:t xml:space="preserve">, независно од препораките во </w:t>
            </w:r>
            <w:r>
              <w:rPr>
                <w:rFonts w:ascii="TeleNeo Office" w:eastAsia="Arial" w:hAnsi="TeleNeo Office" w:cs="Arial"/>
                <w:lang w:val="en-US"/>
              </w:rPr>
              <w:t xml:space="preserve">NIS2 </w:t>
            </w:r>
            <w:r>
              <w:rPr>
                <w:rFonts w:ascii="TeleNeo Office" w:eastAsia="Arial" w:hAnsi="TeleNeo Office" w:cs="Arial"/>
              </w:rPr>
              <w:t>директивата, националната регулатива треба да ги земе во предвид и локалните специфи</w:t>
            </w:r>
            <w:r w:rsidR="00877C86">
              <w:rPr>
                <w:rFonts w:ascii="TeleNeo Office" w:eastAsia="Arial" w:hAnsi="TeleNeo Office" w:cs="Arial"/>
              </w:rPr>
              <w:t>чности</w:t>
            </w:r>
            <w:r>
              <w:rPr>
                <w:rFonts w:ascii="TeleNeo Office" w:eastAsia="Arial" w:hAnsi="TeleNeo Office" w:cs="Arial"/>
              </w:rPr>
              <w:t>.</w:t>
            </w:r>
          </w:p>
          <w:p w:rsidR="00877C86" w:rsidRPr="00DC0435" w:rsidRDefault="00877C86" w:rsidP="00DC0435">
            <w:pPr>
              <w:rPr>
                <w:rFonts w:ascii="TeleNeo Office" w:eastAsia="Arial" w:hAnsi="TeleNeo Office" w:cs="Arial"/>
              </w:rPr>
            </w:pPr>
            <w:r>
              <w:rPr>
                <w:rFonts w:ascii="TeleNeo Office" w:eastAsia="Arial" w:hAnsi="TeleNeo Office" w:cs="Arial"/>
              </w:rPr>
              <w:t>Истиот коментар важи и за став 5 од истиот член.</w:t>
            </w:r>
          </w:p>
        </w:tc>
      </w:tr>
      <w:tr w:rsidR="00DC0435" w:rsidRPr="00ED46FA" w:rsidTr="00CF6108">
        <w:tc>
          <w:tcPr>
            <w:tcW w:w="1838" w:type="dxa"/>
          </w:tcPr>
          <w:p w:rsidR="00DC0435" w:rsidRPr="00ED46FA" w:rsidRDefault="00DC0435" w:rsidP="00B43EC1">
            <w:pPr>
              <w:spacing w:after="120" w:line="276" w:lineRule="auto"/>
              <w:jc w:val="center"/>
              <w:rPr>
                <w:rFonts w:ascii="TeleNeo Office" w:eastAsia="Arial" w:hAnsi="TeleNeo Office" w:cs="Arial"/>
                <w:b/>
              </w:rPr>
            </w:pPr>
          </w:p>
        </w:tc>
        <w:tc>
          <w:tcPr>
            <w:tcW w:w="4961" w:type="dxa"/>
          </w:tcPr>
          <w:p w:rsidR="00DC0435" w:rsidRPr="008B54E7" w:rsidRDefault="004C52C0" w:rsidP="008B54E7">
            <w:pPr>
              <w:pStyle w:val="NormalWeb"/>
              <w:shd w:val="clear" w:color="auto" w:fill="FFFFFF"/>
              <w:spacing w:before="0" w:beforeAutospacing="0" w:after="120" w:afterAutospacing="0"/>
              <w:jc w:val="both"/>
              <w:rPr>
                <w:rFonts w:ascii="TeleNeo Office" w:hAnsi="TeleNeo Office" w:cs="Arial"/>
                <w:color w:val="222222"/>
                <w:sz w:val="22"/>
                <w:szCs w:val="22"/>
              </w:rPr>
            </w:pPr>
            <w:r w:rsidRPr="004C52C0">
              <w:rPr>
                <w:rFonts w:ascii="TeleNeo Office" w:hAnsi="TeleNeo Office" w:cs="Arial"/>
                <w:color w:val="222222"/>
                <w:sz w:val="22"/>
                <w:szCs w:val="22"/>
              </w:rPr>
              <w:t>(7)</w:t>
            </w:r>
            <w:r w:rsidRPr="004C52C0">
              <w:rPr>
                <w:rFonts w:ascii="TeleNeo Office" w:hAnsi="TeleNeo Office" w:cs="Arial"/>
                <w:color w:val="222222"/>
                <w:sz w:val="22"/>
                <w:szCs w:val="22"/>
              </w:rPr>
              <w:tab/>
              <w:t>Доколку значителниот инцидент се  однесува на повеќе држави, единствената точка за контакт, односно Агенцијата, е должна без непотребно одложување да ги извести засегнатите држави и да им ги достави оние информации  што се примени согласно ставот (4) на овој член, притоа,  водејќи сметка за заштита на безбедноста  и комерцијалните интереси на операторот на суштински услуги или на операторот на важни услуги, како и за доверливоста на доставените информации.</w:t>
            </w:r>
          </w:p>
        </w:tc>
        <w:tc>
          <w:tcPr>
            <w:tcW w:w="7149" w:type="dxa"/>
          </w:tcPr>
          <w:p w:rsidR="00DC0435" w:rsidRPr="008B54E7" w:rsidRDefault="00D95631" w:rsidP="00DC0435">
            <w:pPr>
              <w:rPr>
                <w:rFonts w:ascii="TeleNeo Office" w:eastAsia="Arial" w:hAnsi="TeleNeo Office" w:cs="Arial"/>
              </w:rPr>
            </w:pPr>
            <w:r>
              <w:rPr>
                <w:rFonts w:ascii="TeleNeo Office" w:eastAsia="Arial" w:hAnsi="TeleNeo Office" w:cs="Arial"/>
              </w:rPr>
              <w:t>Во текстот на предлог Законот во неколку</w:t>
            </w:r>
            <w:r w:rsidR="0016082E">
              <w:rPr>
                <w:rFonts w:ascii="TeleNeo Office" w:eastAsia="Arial" w:hAnsi="TeleNeo Office" w:cs="Arial"/>
                <w:lang w:val="en-US"/>
              </w:rPr>
              <w:t xml:space="preserve"> </w:t>
            </w:r>
            <w:r>
              <w:rPr>
                <w:rFonts w:ascii="TeleNeo Office" w:eastAsia="Arial" w:hAnsi="TeleNeo Office" w:cs="Arial"/>
              </w:rPr>
              <w:t>наврати</w:t>
            </w:r>
            <w:r w:rsidR="004C52C0" w:rsidRPr="004C52C0">
              <w:rPr>
                <w:rFonts w:ascii="TeleNeo Office" w:eastAsia="Arial" w:hAnsi="TeleNeo Office" w:cs="Arial"/>
              </w:rPr>
              <w:t xml:space="preserve"> се споменува </w:t>
            </w:r>
            <w:r w:rsidR="004C52C0">
              <w:rPr>
                <w:rFonts w:ascii="TeleNeo Office" w:eastAsia="Arial" w:hAnsi="TeleNeo Office" w:cs="Arial"/>
                <w:lang w:val="en-US"/>
              </w:rPr>
              <w:t>“</w:t>
            </w:r>
            <w:r w:rsidR="004C52C0" w:rsidRPr="004C52C0">
              <w:rPr>
                <w:rFonts w:ascii="TeleNeo Office" w:eastAsia="Arial" w:hAnsi="TeleNeo Office" w:cs="Arial"/>
              </w:rPr>
              <w:t>значителен инцидент</w:t>
            </w:r>
            <w:r w:rsidR="004C52C0">
              <w:rPr>
                <w:rFonts w:ascii="TeleNeo Office" w:eastAsia="Arial" w:hAnsi="TeleNeo Office" w:cs="Arial"/>
                <w:lang w:val="en-US"/>
              </w:rPr>
              <w:t>”</w:t>
            </w:r>
            <w:r w:rsidR="004C52C0" w:rsidRPr="004C52C0">
              <w:rPr>
                <w:rFonts w:ascii="TeleNeo Office" w:eastAsia="Arial" w:hAnsi="TeleNeo Office" w:cs="Arial"/>
              </w:rPr>
              <w:t xml:space="preserve"> но нема дефиниција за тоа</w:t>
            </w:r>
            <w:r w:rsidR="004C52C0">
              <w:rPr>
                <w:rFonts w:ascii="TeleNeo Office" w:eastAsia="Arial" w:hAnsi="TeleNeo Office" w:cs="Arial"/>
              </w:rPr>
              <w:t xml:space="preserve"> во законот</w:t>
            </w:r>
            <w:r w:rsidR="00A41867">
              <w:rPr>
                <w:rFonts w:ascii="TeleNeo Office" w:eastAsia="Arial" w:hAnsi="TeleNeo Office" w:cs="Arial"/>
              </w:rPr>
              <w:t>.</w:t>
            </w:r>
            <w:r w:rsidR="004C52C0">
              <w:rPr>
                <w:rFonts w:ascii="TeleNeo Office" w:eastAsia="Arial" w:hAnsi="TeleNeo Office" w:cs="Arial"/>
              </w:rPr>
              <w:t xml:space="preserve"> </w:t>
            </w:r>
            <w:r w:rsidR="00A41867">
              <w:rPr>
                <w:rFonts w:ascii="TeleNeo Office" w:eastAsia="Arial" w:hAnsi="TeleNeo Office" w:cs="Arial"/>
              </w:rPr>
              <w:t xml:space="preserve">И </w:t>
            </w:r>
            <w:r w:rsidR="004C52C0">
              <w:rPr>
                <w:rFonts w:ascii="TeleNeo Office" w:eastAsia="Arial" w:hAnsi="TeleNeo Office" w:cs="Arial"/>
              </w:rPr>
              <w:t>покрај тоа што се наведува дека ќе биде дефинирано во подзаконскиот акт</w:t>
            </w:r>
            <w:r w:rsidR="00A41867">
              <w:rPr>
                <w:rFonts w:ascii="TeleNeo Office" w:eastAsia="Arial" w:hAnsi="TeleNeo Office" w:cs="Arial"/>
              </w:rPr>
              <w:t>,</w:t>
            </w:r>
            <w:r w:rsidR="004C52C0" w:rsidRPr="004C52C0">
              <w:rPr>
                <w:rFonts w:ascii="TeleNeo Office" w:eastAsia="Arial" w:hAnsi="TeleNeo Office" w:cs="Arial"/>
              </w:rPr>
              <w:t xml:space="preserve"> </w:t>
            </w:r>
            <w:r w:rsidR="00A41867">
              <w:rPr>
                <w:rFonts w:ascii="TeleNeo Office" w:eastAsia="Arial" w:hAnsi="TeleNeo Office" w:cs="Arial"/>
              </w:rPr>
              <w:t>с</w:t>
            </w:r>
            <w:r w:rsidR="004C52C0">
              <w:rPr>
                <w:rFonts w:ascii="TeleNeo Office" w:eastAsia="Arial" w:hAnsi="TeleNeo Office" w:cs="Arial"/>
              </w:rPr>
              <w:t xml:space="preserve">метаме дека е </w:t>
            </w:r>
            <w:r w:rsidR="004C52C0" w:rsidRPr="004C52C0">
              <w:rPr>
                <w:rFonts w:ascii="TeleNeo Office" w:eastAsia="Arial" w:hAnsi="TeleNeo Office" w:cs="Arial"/>
              </w:rPr>
              <w:t xml:space="preserve">потребно </w:t>
            </w:r>
            <w:r w:rsidR="004C52C0">
              <w:rPr>
                <w:rFonts w:ascii="TeleNeo Office" w:eastAsia="Arial" w:hAnsi="TeleNeo Office" w:cs="Arial"/>
              </w:rPr>
              <w:t xml:space="preserve">да се дефинира </w:t>
            </w:r>
            <w:r w:rsidR="004C52C0" w:rsidRPr="004C52C0">
              <w:rPr>
                <w:rFonts w:ascii="TeleNeo Office" w:eastAsia="Arial" w:hAnsi="TeleNeo Office" w:cs="Arial"/>
              </w:rPr>
              <w:t xml:space="preserve">значителен инцидент </w:t>
            </w:r>
            <w:r w:rsidR="004C52C0">
              <w:rPr>
                <w:rFonts w:ascii="TeleNeo Office" w:eastAsia="Arial" w:hAnsi="TeleNeo Office" w:cs="Arial"/>
              </w:rPr>
              <w:t xml:space="preserve">и </w:t>
            </w:r>
            <w:r w:rsidR="004C52C0" w:rsidRPr="004C52C0">
              <w:rPr>
                <w:rFonts w:ascii="TeleNeo Office" w:eastAsia="Arial" w:hAnsi="TeleNeo Office" w:cs="Arial"/>
              </w:rPr>
              <w:t xml:space="preserve"> да се направи градација за да се разграничува значителен од незначителен и сл...Овие градации и категоризации се посебно важни во процесите на </w:t>
            </w:r>
            <w:r w:rsidR="00A41867">
              <w:rPr>
                <w:rFonts w:ascii="TeleNeo Office" w:eastAsia="Arial" w:hAnsi="TeleNeo Office" w:cs="Arial"/>
              </w:rPr>
              <w:t>дефинирање на м</w:t>
            </w:r>
            <w:r w:rsidR="00A41867" w:rsidRPr="00A41867">
              <w:rPr>
                <w:rFonts w:ascii="TeleNeo Office" w:eastAsia="Arial" w:hAnsi="TeleNeo Office" w:cs="Arial"/>
              </w:rPr>
              <w:t xml:space="preserve">ерки за управување со сајбер безбедносни  ризици </w:t>
            </w:r>
            <w:r w:rsidR="004C52C0" w:rsidRPr="004C52C0">
              <w:rPr>
                <w:rFonts w:ascii="TeleNeo Office" w:eastAsia="Arial" w:hAnsi="TeleNeo Office" w:cs="Arial"/>
              </w:rPr>
              <w:t xml:space="preserve"> согласно член 42</w:t>
            </w:r>
            <w:r w:rsidR="004C52C0">
              <w:rPr>
                <w:rFonts w:ascii="TeleNeo Office" w:eastAsia="Arial" w:hAnsi="TeleNeo Office" w:cs="Arial"/>
              </w:rPr>
              <w:t>.</w:t>
            </w:r>
          </w:p>
        </w:tc>
      </w:tr>
      <w:tr w:rsidR="00DC0435" w:rsidRPr="00ED46FA" w:rsidTr="00CF6108">
        <w:tc>
          <w:tcPr>
            <w:tcW w:w="1838" w:type="dxa"/>
          </w:tcPr>
          <w:p w:rsidR="00DC0435" w:rsidRPr="00ED46FA" w:rsidRDefault="00513FAE" w:rsidP="00B43EC1">
            <w:pPr>
              <w:spacing w:after="120" w:line="276" w:lineRule="auto"/>
              <w:jc w:val="center"/>
              <w:rPr>
                <w:rFonts w:ascii="TeleNeo Office" w:eastAsia="Arial" w:hAnsi="TeleNeo Office" w:cs="Arial"/>
                <w:b/>
              </w:rPr>
            </w:pPr>
            <w:r w:rsidRPr="00513FAE">
              <w:rPr>
                <w:rFonts w:ascii="TeleNeo Office" w:eastAsia="Arial" w:hAnsi="TeleNeo Office" w:cs="Arial"/>
                <w:b/>
              </w:rPr>
              <w:t>Член 45</w:t>
            </w:r>
          </w:p>
        </w:tc>
        <w:tc>
          <w:tcPr>
            <w:tcW w:w="4961" w:type="dxa"/>
          </w:tcPr>
          <w:p w:rsidR="00DC0435" w:rsidRPr="008B54E7" w:rsidRDefault="00513FAE" w:rsidP="00513FAE">
            <w:pPr>
              <w:pStyle w:val="NormalWeb"/>
              <w:shd w:val="clear" w:color="auto" w:fill="FFFFFF"/>
              <w:spacing w:before="0" w:beforeAutospacing="0" w:after="120" w:afterAutospacing="0"/>
              <w:jc w:val="both"/>
              <w:rPr>
                <w:rFonts w:ascii="TeleNeo Office" w:hAnsi="TeleNeo Office" w:cs="Arial"/>
                <w:color w:val="222222"/>
                <w:sz w:val="22"/>
                <w:szCs w:val="22"/>
              </w:rPr>
            </w:pPr>
            <w:r w:rsidRPr="00513FAE">
              <w:rPr>
                <w:rFonts w:ascii="TeleNeo Office" w:hAnsi="TeleNeo Office" w:cs="Arial"/>
                <w:color w:val="222222"/>
                <w:sz w:val="22"/>
                <w:szCs w:val="22"/>
              </w:rPr>
              <w:t>(1)</w:t>
            </w:r>
            <w:r w:rsidRPr="00513FAE">
              <w:rPr>
                <w:rFonts w:ascii="TeleNeo Office" w:hAnsi="TeleNeo Office" w:cs="Arial"/>
                <w:color w:val="222222"/>
                <w:sz w:val="22"/>
                <w:szCs w:val="22"/>
              </w:rPr>
              <w:tab/>
              <w:t>Со цел да се докаже усогласеноста со одредени обврски од членот 42 од овој закон, Агенцијата може да бара од операторите на суштински услуги или од операторите на важни услуги користење на одредени ИКТ-услуги, ИКТ-системи и ИКТ-производи кои ги развил самиот оператор  или се набавени од трета страна кои се сертифицирани врз основа на европски програми за</w:t>
            </w:r>
            <w:r>
              <w:rPr>
                <w:rFonts w:ascii="TeleNeo Office" w:hAnsi="TeleNeo Office" w:cs="Arial"/>
                <w:color w:val="222222"/>
                <w:sz w:val="22"/>
                <w:szCs w:val="22"/>
              </w:rPr>
              <w:t xml:space="preserve"> </w:t>
            </w:r>
            <w:r w:rsidRPr="00513FAE">
              <w:rPr>
                <w:rFonts w:ascii="TeleNeo Office" w:hAnsi="TeleNeo Office" w:cs="Arial"/>
                <w:color w:val="222222"/>
                <w:sz w:val="22"/>
                <w:szCs w:val="22"/>
              </w:rPr>
              <w:t>сајбер безбедносна</w:t>
            </w:r>
            <w:r>
              <w:rPr>
                <w:rFonts w:ascii="TeleNeo Office" w:hAnsi="TeleNeo Office" w:cs="Arial"/>
                <w:color w:val="222222"/>
                <w:sz w:val="22"/>
                <w:szCs w:val="22"/>
              </w:rPr>
              <w:t xml:space="preserve"> </w:t>
            </w:r>
            <w:r w:rsidRPr="00513FAE">
              <w:rPr>
                <w:rFonts w:ascii="TeleNeo Office" w:hAnsi="TeleNeo Office" w:cs="Arial"/>
                <w:color w:val="222222"/>
                <w:sz w:val="22"/>
                <w:szCs w:val="22"/>
              </w:rPr>
              <w:t>сертификација.</w:t>
            </w:r>
          </w:p>
        </w:tc>
        <w:tc>
          <w:tcPr>
            <w:tcW w:w="7149" w:type="dxa"/>
          </w:tcPr>
          <w:p w:rsidR="00DC0435" w:rsidRPr="00507C42" w:rsidRDefault="00513FAE" w:rsidP="00DC0435">
            <w:pPr>
              <w:rPr>
                <w:rFonts w:ascii="TeleNeo Office" w:eastAsia="Arial" w:hAnsi="TeleNeo Office" w:cs="Arial"/>
              </w:rPr>
            </w:pPr>
            <w:r>
              <w:rPr>
                <w:rFonts w:ascii="TeleNeo Office" w:eastAsia="Arial" w:hAnsi="TeleNeo Office" w:cs="Arial"/>
              </w:rPr>
              <w:t xml:space="preserve">Сметаме дека за </w:t>
            </w:r>
            <w:r w:rsidRPr="00513FAE">
              <w:rPr>
                <w:rFonts w:ascii="TeleNeo Office" w:eastAsia="Arial" w:hAnsi="TeleNeo Office" w:cs="Arial"/>
              </w:rPr>
              <w:t>ИК</w:t>
            </w:r>
            <w:r>
              <w:rPr>
                <w:rFonts w:ascii="TeleNeo Office" w:eastAsia="Arial" w:hAnsi="TeleNeo Office" w:cs="Arial"/>
              </w:rPr>
              <w:t xml:space="preserve">Т </w:t>
            </w:r>
            <w:r w:rsidRPr="00513FAE">
              <w:rPr>
                <w:rFonts w:ascii="TeleNeo Office" w:eastAsia="Arial" w:hAnsi="TeleNeo Office" w:cs="Arial"/>
              </w:rPr>
              <w:t>производи кои ги развил самиот оператор</w:t>
            </w:r>
            <w:r>
              <w:rPr>
                <w:rFonts w:ascii="TeleNeo Office" w:eastAsia="Arial" w:hAnsi="TeleNeo Office" w:cs="Arial"/>
              </w:rPr>
              <w:t xml:space="preserve"> нема </w:t>
            </w:r>
            <w:r w:rsidRPr="00513FAE">
              <w:rPr>
                <w:rFonts w:ascii="TeleNeo Office" w:eastAsia="Arial" w:hAnsi="TeleNeo Office" w:cs="Arial"/>
              </w:rPr>
              <w:t xml:space="preserve"> потреба од сертификација ако операторот ги почитува обврските од овој закон</w:t>
            </w:r>
            <w:r w:rsidR="00952537">
              <w:rPr>
                <w:rFonts w:ascii="TeleNeo Office" w:eastAsia="Arial" w:hAnsi="TeleNeo Office" w:cs="Arial"/>
                <w:lang w:val="en-US"/>
              </w:rPr>
              <w:t xml:space="preserve"> </w:t>
            </w:r>
            <w:r w:rsidR="00952537">
              <w:rPr>
                <w:rFonts w:ascii="TeleNeo Office" w:eastAsia="Arial" w:hAnsi="TeleNeo Office" w:cs="Arial"/>
              </w:rPr>
              <w:t xml:space="preserve">и </w:t>
            </w:r>
            <w:r w:rsidR="00952537" w:rsidRPr="00952537">
              <w:rPr>
                <w:rFonts w:ascii="TeleNeo Office" w:eastAsia="Arial" w:hAnsi="TeleNeo Office" w:cs="Arial"/>
                <w:lang w:val="en-US"/>
              </w:rPr>
              <w:t>европски</w:t>
            </w:r>
            <w:r w:rsidR="00952537">
              <w:rPr>
                <w:rFonts w:ascii="TeleNeo Office" w:eastAsia="Arial" w:hAnsi="TeleNeo Office" w:cs="Arial"/>
              </w:rPr>
              <w:t>те</w:t>
            </w:r>
            <w:r w:rsidR="00952537" w:rsidRPr="00952537">
              <w:rPr>
                <w:rFonts w:ascii="TeleNeo Office" w:eastAsia="Arial" w:hAnsi="TeleNeo Office" w:cs="Arial"/>
                <w:lang w:val="en-US"/>
              </w:rPr>
              <w:t xml:space="preserve"> и меѓународни стандарди и технички спецификации за безбедност на мрежни и информациски системи</w:t>
            </w:r>
            <w:r w:rsidR="00A41867">
              <w:rPr>
                <w:rFonts w:ascii="TeleNeo Office" w:eastAsia="Arial" w:hAnsi="TeleNeo Office" w:cs="Arial"/>
              </w:rPr>
              <w:t>, што се утврдува со редовните надзори од страна на агенцијата.</w:t>
            </w:r>
            <w:r>
              <w:rPr>
                <w:rFonts w:ascii="TeleNeo Office" w:eastAsia="Arial" w:hAnsi="TeleNeo Office" w:cs="Arial"/>
              </w:rPr>
              <w:t xml:space="preserve"> </w:t>
            </w:r>
            <w:r w:rsidR="00507C42">
              <w:rPr>
                <w:rFonts w:ascii="TeleNeo Office" w:eastAsia="Arial" w:hAnsi="TeleNeo Office" w:cs="Arial"/>
                <w:lang w:val="en-US"/>
              </w:rPr>
              <w:t xml:space="preserve"> </w:t>
            </w:r>
          </w:p>
          <w:p w:rsidR="00680230" w:rsidRPr="00827903" w:rsidRDefault="00680230" w:rsidP="00DC0435">
            <w:pPr>
              <w:rPr>
                <w:rFonts w:ascii="TeleNeo Office" w:eastAsia="Arial" w:hAnsi="TeleNeo Office" w:cs="Arial"/>
              </w:rPr>
            </w:pPr>
            <w:r w:rsidRPr="00680230">
              <w:rPr>
                <w:rFonts w:ascii="TeleNeo Office" w:eastAsia="Arial" w:hAnsi="TeleNeo Office" w:cs="Arial"/>
              </w:rPr>
              <w:t>Примена на европски програми за сајбер безбедносна сертификација</w:t>
            </w:r>
            <w:r>
              <w:rPr>
                <w:rFonts w:ascii="TeleNeo Office" w:eastAsia="Arial" w:hAnsi="TeleNeo Office" w:cs="Arial"/>
                <w:lang w:val="en-US"/>
              </w:rPr>
              <w:t xml:space="preserve"> </w:t>
            </w:r>
            <w:r>
              <w:rPr>
                <w:rFonts w:ascii="TeleNeo Office" w:eastAsia="Arial" w:hAnsi="TeleNeo Office" w:cs="Arial"/>
              </w:rPr>
              <w:t>како што е наведено во член 45 од овој закон може да има за одредени ИКТ продукти</w:t>
            </w:r>
            <w:r w:rsidR="00B63479">
              <w:rPr>
                <w:rFonts w:ascii="TeleNeo Office" w:eastAsia="Arial" w:hAnsi="TeleNeo Office" w:cs="Arial"/>
              </w:rPr>
              <w:t xml:space="preserve"> кои треба да се дефинираат прецизно во подзаконските акти. </w:t>
            </w:r>
          </w:p>
        </w:tc>
      </w:tr>
      <w:tr w:rsidR="00491A48" w:rsidRPr="00ED46FA" w:rsidTr="00CF6108">
        <w:tc>
          <w:tcPr>
            <w:tcW w:w="1838" w:type="dxa"/>
          </w:tcPr>
          <w:p w:rsidR="00491A48" w:rsidRPr="00491A48" w:rsidRDefault="00491A48" w:rsidP="00491A48">
            <w:pPr>
              <w:pStyle w:val="NormalWeb"/>
              <w:shd w:val="clear" w:color="auto" w:fill="FFFFFF"/>
              <w:spacing w:before="0" w:beforeAutospacing="0" w:after="0" w:afterAutospacing="0"/>
              <w:jc w:val="both"/>
              <w:rPr>
                <w:rFonts w:ascii="TeleNeo Office" w:hAnsi="TeleNeo Office" w:cs="Arial"/>
                <w:b/>
                <w:color w:val="222222"/>
                <w:sz w:val="22"/>
                <w:szCs w:val="22"/>
              </w:rPr>
            </w:pPr>
            <w:r>
              <w:rPr>
                <w:rFonts w:ascii="TeleNeo Office" w:hAnsi="TeleNeo Office" w:cs="Arial"/>
                <w:b/>
                <w:color w:val="222222"/>
                <w:sz w:val="22"/>
                <w:szCs w:val="22"/>
              </w:rPr>
              <w:t xml:space="preserve">        </w:t>
            </w:r>
            <w:r w:rsidRPr="00491A48">
              <w:rPr>
                <w:rFonts w:ascii="TeleNeo Office" w:hAnsi="TeleNeo Office" w:cs="Arial"/>
                <w:b/>
                <w:color w:val="222222"/>
                <w:sz w:val="22"/>
                <w:szCs w:val="22"/>
              </w:rPr>
              <w:t>Член 46</w:t>
            </w:r>
          </w:p>
          <w:p w:rsidR="00491A48" w:rsidRPr="00491A48" w:rsidRDefault="00491A48" w:rsidP="00491A48">
            <w:pPr>
              <w:pStyle w:val="NormalWeb"/>
              <w:shd w:val="clear" w:color="auto" w:fill="FFFFFF"/>
              <w:spacing w:before="0" w:beforeAutospacing="0" w:after="0" w:afterAutospacing="0"/>
              <w:jc w:val="both"/>
              <w:rPr>
                <w:rFonts w:ascii="TeleNeo Office" w:hAnsi="TeleNeo Office" w:cs="Arial"/>
                <w:b/>
                <w:color w:val="222222"/>
                <w:sz w:val="22"/>
                <w:szCs w:val="22"/>
              </w:rPr>
            </w:pPr>
            <w:r w:rsidRPr="00491A48">
              <w:rPr>
                <w:rFonts w:ascii="TeleNeo Office" w:hAnsi="TeleNeo Office" w:cs="Arial"/>
                <w:b/>
                <w:color w:val="222222"/>
                <w:sz w:val="22"/>
                <w:szCs w:val="22"/>
              </w:rPr>
              <w:t>Стандардизација</w:t>
            </w:r>
          </w:p>
          <w:p w:rsidR="00491A48" w:rsidRPr="00513FAE" w:rsidRDefault="00491A48" w:rsidP="00491A48">
            <w:pPr>
              <w:pStyle w:val="NormalWeb"/>
              <w:shd w:val="clear" w:color="auto" w:fill="FFFFFF"/>
              <w:spacing w:before="0" w:beforeAutospacing="0" w:after="0" w:afterAutospacing="0"/>
              <w:jc w:val="both"/>
              <w:rPr>
                <w:rFonts w:ascii="TeleNeo Office" w:eastAsia="Arial" w:hAnsi="TeleNeo Office" w:cs="Arial"/>
                <w:b/>
              </w:rPr>
            </w:pPr>
          </w:p>
        </w:tc>
        <w:tc>
          <w:tcPr>
            <w:tcW w:w="4961" w:type="dxa"/>
          </w:tcPr>
          <w:p w:rsidR="00491A48" w:rsidRPr="00513FAE" w:rsidRDefault="00491A48" w:rsidP="00491A48">
            <w:pPr>
              <w:pStyle w:val="NormalWeb"/>
              <w:shd w:val="clear" w:color="auto" w:fill="FFFFFF"/>
              <w:spacing w:before="0" w:beforeAutospacing="0" w:after="120" w:afterAutospacing="0"/>
              <w:jc w:val="both"/>
              <w:rPr>
                <w:rFonts w:ascii="TeleNeo Office" w:hAnsi="TeleNeo Office" w:cs="Arial"/>
                <w:color w:val="222222"/>
                <w:sz w:val="22"/>
                <w:szCs w:val="22"/>
              </w:rPr>
            </w:pPr>
            <w:r w:rsidRPr="00491A48">
              <w:rPr>
                <w:rFonts w:ascii="TeleNeo Office" w:hAnsi="TeleNeo Office" w:cs="Arial"/>
                <w:color w:val="222222"/>
                <w:sz w:val="22"/>
                <w:szCs w:val="22"/>
              </w:rPr>
              <w:t xml:space="preserve"> (2) Агенцијата со релевантните засегнати страни изготвува совети и упатства во однос на техничките области од ставот (1) на овој член, како и во однос </w:t>
            </w:r>
            <w:r w:rsidRPr="00491A48">
              <w:rPr>
                <w:rFonts w:ascii="TeleNeo Office" w:hAnsi="TeleNeo Office" w:cs="Arial"/>
                <w:color w:val="222222"/>
                <w:sz w:val="22"/>
                <w:szCs w:val="22"/>
              </w:rPr>
              <w:lastRenderedPageBreak/>
              <w:t>на веќе постојните меѓународни и национални стандарди.</w:t>
            </w:r>
          </w:p>
        </w:tc>
        <w:tc>
          <w:tcPr>
            <w:tcW w:w="7149" w:type="dxa"/>
          </w:tcPr>
          <w:p w:rsidR="00491A48" w:rsidRDefault="00491A48" w:rsidP="00DC0435">
            <w:pPr>
              <w:rPr>
                <w:rFonts w:ascii="TeleNeo Office" w:eastAsia="Arial" w:hAnsi="TeleNeo Office" w:cs="Arial"/>
              </w:rPr>
            </w:pPr>
            <w:r w:rsidRPr="008B54E7">
              <w:rPr>
                <w:rFonts w:ascii="TeleNeo Office" w:eastAsia="Arial" w:hAnsi="TeleNeo Office" w:cs="Arial"/>
              </w:rPr>
              <w:lastRenderedPageBreak/>
              <w:t xml:space="preserve">Пред да го </w:t>
            </w:r>
            <w:r>
              <w:rPr>
                <w:rFonts w:ascii="TeleNeo Office" w:eastAsia="Arial" w:hAnsi="TeleNeo Office" w:cs="Arial"/>
              </w:rPr>
              <w:t>упатствата од став 2</w:t>
            </w:r>
            <w:r w:rsidRPr="008B54E7">
              <w:rPr>
                <w:rFonts w:ascii="TeleNeo Office" w:eastAsia="Arial" w:hAnsi="TeleNeo Office" w:cs="Arial"/>
              </w:rPr>
              <w:t xml:space="preserve"> на овој член Агенцијата е должна да објави јавна расправа за период не пократок од 30 дена,  </w:t>
            </w:r>
            <w:r>
              <w:rPr>
                <w:rFonts w:ascii="TeleNeo Office" w:eastAsia="Arial" w:hAnsi="TeleNeo Office" w:cs="Arial"/>
              </w:rPr>
              <w:t>за да можат сите сите заинтересирани субјекти да ги достават своите коментари. Сите пристигнати комен</w:t>
            </w:r>
            <w:r w:rsidR="005A74D3">
              <w:rPr>
                <w:rFonts w:ascii="TeleNeo Office" w:eastAsia="Arial" w:hAnsi="TeleNeo Office" w:cs="Arial"/>
              </w:rPr>
              <w:t>тари</w:t>
            </w:r>
            <w:r>
              <w:rPr>
                <w:rFonts w:ascii="TeleNeo Office" w:eastAsia="Arial" w:hAnsi="TeleNeo Office" w:cs="Arial"/>
              </w:rPr>
              <w:t xml:space="preserve"> треба да бидат објавени на веб страната на агенцијата. Стручните служби на агенцијата треба да се произнесат по </w:t>
            </w:r>
            <w:r>
              <w:rPr>
                <w:rFonts w:ascii="TeleNeo Office" w:eastAsia="Arial" w:hAnsi="TeleNeo Office" w:cs="Arial"/>
              </w:rPr>
              <w:lastRenderedPageBreak/>
              <w:t>доставените коментари со напомена дали се прифатени и образложение доколку не се прифатени.</w:t>
            </w:r>
          </w:p>
        </w:tc>
      </w:tr>
      <w:tr w:rsidR="00491A48" w:rsidRPr="00ED46FA" w:rsidTr="00CF6108">
        <w:tc>
          <w:tcPr>
            <w:tcW w:w="1838" w:type="dxa"/>
          </w:tcPr>
          <w:p w:rsidR="0003481D" w:rsidRDefault="0003481D" w:rsidP="0003481D">
            <w:pPr>
              <w:pStyle w:val="NormalWeb"/>
              <w:shd w:val="clear" w:color="auto" w:fill="FFFFFF"/>
              <w:spacing w:after="0"/>
              <w:jc w:val="center"/>
              <w:rPr>
                <w:rFonts w:ascii="TeleNeo Office" w:hAnsi="TeleNeo Office" w:cs="Arial"/>
                <w:b/>
                <w:color w:val="222222"/>
                <w:sz w:val="22"/>
                <w:szCs w:val="22"/>
              </w:rPr>
            </w:pPr>
            <w:r w:rsidRPr="0003481D">
              <w:rPr>
                <w:rFonts w:ascii="TeleNeo Office" w:hAnsi="TeleNeo Office" w:cs="Arial"/>
                <w:b/>
                <w:color w:val="222222"/>
                <w:sz w:val="22"/>
                <w:szCs w:val="22"/>
              </w:rPr>
              <w:lastRenderedPageBreak/>
              <w:t>Член 59</w:t>
            </w:r>
          </w:p>
          <w:p w:rsidR="0003481D" w:rsidRPr="0003481D" w:rsidRDefault="0003481D" w:rsidP="0003481D">
            <w:pPr>
              <w:pStyle w:val="NormalWeb"/>
              <w:shd w:val="clear" w:color="auto" w:fill="FFFFFF"/>
              <w:spacing w:after="0"/>
              <w:jc w:val="center"/>
              <w:rPr>
                <w:rFonts w:ascii="TeleNeo Office" w:hAnsi="TeleNeo Office" w:cs="Arial"/>
                <w:b/>
                <w:color w:val="222222"/>
                <w:sz w:val="22"/>
                <w:szCs w:val="22"/>
              </w:rPr>
            </w:pPr>
            <w:r w:rsidRPr="0003481D">
              <w:rPr>
                <w:rFonts w:ascii="TeleNeo Office" w:hAnsi="TeleNeo Office" w:cs="Arial"/>
                <w:b/>
                <w:color w:val="222222"/>
                <w:sz w:val="22"/>
                <w:szCs w:val="22"/>
              </w:rPr>
              <w:t>Мерки кај операторите на суштински услуги</w:t>
            </w:r>
          </w:p>
          <w:p w:rsidR="00491A48" w:rsidRDefault="00491A48" w:rsidP="0003481D">
            <w:pPr>
              <w:pStyle w:val="NormalWeb"/>
              <w:shd w:val="clear" w:color="auto" w:fill="FFFFFF"/>
              <w:spacing w:before="0" w:beforeAutospacing="0" w:after="0" w:afterAutospacing="0"/>
              <w:jc w:val="both"/>
              <w:rPr>
                <w:rFonts w:ascii="TeleNeo Office" w:hAnsi="TeleNeo Office" w:cs="Arial"/>
                <w:b/>
                <w:color w:val="222222"/>
                <w:sz w:val="22"/>
                <w:szCs w:val="22"/>
              </w:rPr>
            </w:pPr>
          </w:p>
        </w:tc>
        <w:tc>
          <w:tcPr>
            <w:tcW w:w="4961" w:type="dxa"/>
          </w:tcPr>
          <w:p w:rsidR="00491A48" w:rsidRPr="00491A48" w:rsidRDefault="00491A48" w:rsidP="00491A48">
            <w:pPr>
              <w:pStyle w:val="NormalWeb"/>
              <w:shd w:val="clear" w:color="auto" w:fill="FFFFFF"/>
              <w:spacing w:before="0" w:beforeAutospacing="0" w:after="120" w:afterAutospacing="0"/>
              <w:jc w:val="both"/>
              <w:rPr>
                <w:rFonts w:ascii="TeleNeo Office" w:hAnsi="TeleNeo Office" w:cs="Arial"/>
                <w:color w:val="222222"/>
                <w:sz w:val="22"/>
                <w:szCs w:val="22"/>
              </w:rPr>
            </w:pPr>
          </w:p>
        </w:tc>
        <w:tc>
          <w:tcPr>
            <w:tcW w:w="7149" w:type="dxa"/>
          </w:tcPr>
          <w:p w:rsidR="0003481D" w:rsidRPr="0003481D" w:rsidRDefault="0003481D" w:rsidP="00DC0435">
            <w:pPr>
              <w:rPr>
                <w:rFonts w:ascii="TeleNeo Office" w:eastAsia="Arial" w:hAnsi="TeleNeo Office" w:cs="Arial"/>
                <w:lang w:val="en-US"/>
              </w:rPr>
            </w:pPr>
            <w:r>
              <w:rPr>
                <w:rFonts w:ascii="TeleNeo Office" w:eastAsia="Arial" w:hAnsi="TeleNeo Office" w:cs="Arial"/>
              </w:rPr>
              <w:t xml:space="preserve">Сметаме дека </w:t>
            </w:r>
            <w:r w:rsidR="00D95631">
              <w:rPr>
                <w:rFonts w:ascii="TeleNeo Office" w:eastAsia="Arial" w:hAnsi="TeleNeo Office" w:cs="Arial"/>
              </w:rPr>
              <w:t>точката</w:t>
            </w:r>
            <w:r>
              <w:rPr>
                <w:rFonts w:ascii="TeleNeo Office" w:eastAsia="Arial" w:hAnsi="TeleNeo Office" w:cs="Arial"/>
              </w:rPr>
              <w:t xml:space="preserve"> а. </w:t>
            </w:r>
            <w:r w:rsidR="001D7CAC">
              <w:rPr>
                <w:rFonts w:ascii="TeleNeo Office" w:eastAsia="Arial" w:hAnsi="TeleNeo Office" w:cs="Arial"/>
              </w:rPr>
              <w:t xml:space="preserve">од член 59 </w:t>
            </w:r>
            <w:r>
              <w:rPr>
                <w:rFonts w:ascii="TeleNeo Office" w:eastAsia="Arial" w:hAnsi="TeleNeo Office" w:cs="Arial"/>
              </w:rPr>
              <w:t>треба да се измени на следниот начин</w:t>
            </w:r>
            <w:r>
              <w:rPr>
                <w:rFonts w:ascii="TeleNeo Office" w:eastAsia="Arial" w:hAnsi="TeleNeo Office" w:cs="Arial"/>
                <w:lang w:val="en-US"/>
              </w:rPr>
              <w:t>:</w:t>
            </w:r>
          </w:p>
          <w:p w:rsidR="00491A48" w:rsidRPr="00CF6108" w:rsidRDefault="0003481D" w:rsidP="00DC0435">
            <w:pPr>
              <w:rPr>
                <w:rFonts w:ascii="TeleNeo Office" w:eastAsia="Arial" w:hAnsi="TeleNeo Office" w:cs="Arial"/>
                <w:lang w:val="en-US"/>
              </w:rPr>
            </w:pPr>
            <w:r>
              <w:rPr>
                <w:rFonts w:ascii="TeleNeo Office" w:eastAsia="Arial" w:hAnsi="TeleNeo Office" w:cs="Arial"/>
              </w:rPr>
              <w:t>а.</w:t>
            </w:r>
            <w:r w:rsidRPr="0003481D">
              <w:rPr>
                <w:rFonts w:ascii="TeleNeo Office" w:eastAsia="Arial" w:hAnsi="TeleNeo Office" w:cs="Arial"/>
              </w:rPr>
              <w:t xml:space="preserve"> Доколку Агенцијата при вршење на надзор утврди дека оператор при своето работење не е усогласен со еден или повеќе од условите утврдени со овој закон, прописите донесени врз основа на него, обврските наметнати од страна на Агенцијата,  таа за тоа писмено ќе го извести операторот и ќе му даде рок не пократок од </w:t>
            </w:r>
            <w:r>
              <w:rPr>
                <w:rFonts w:ascii="TeleNeo Office" w:eastAsia="Arial" w:hAnsi="TeleNeo Office" w:cs="Arial"/>
                <w:lang w:val="en-US"/>
              </w:rPr>
              <w:t>3</w:t>
            </w:r>
            <w:r w:rsidRPr="0003481D">
              <w:rPr>
                <w:rFonts w:ascii="TeleNeo Office" w:eastAsia="Arial" w:hAnsi="TeleNeo Office" w:cs="Arial"/>
              </w:rPr>
              <w:t xml:space="preserve"> </w:t>
            </w:r>
            <w:r>
              <w:rPr>
                <w:rFonts w:ascii="TeleNeo Office" w:eastAsia="Arial" w:hAnsi="TeleNeo Office" w:cs="Arial"/>
              </w:rPr>
              <w:t>месеци</w:t>
            </w:r>
            <w:r w:rsidRPr="0003481D">
              <w:rPr>
                <w:rFonts w:ascii="TeleNeo Office" w:eastAsia="Arial" w:hAnsi="TeleNeo Office" w:cs="Arial"/>
              </w:rPr>
              <w:t xml:space="preserve"> од денот на приемот на писменото известување да ја отстрани утврдената неусогласеност</w:t>
            </w:r>
            <w:r w:rsidR="0017212C">
              <w:rPr>
                <w:rFonts w:ascii="TeleNeo Office" w:eastAsia="Arial" w:hAnsi="TeleNeo Office" w:cs="Arial"/>
                <w:lang w:val="en-US"/>
              </w:rPr>
              <w:t xml:space="preserve">. </w:t>
            </w:r>
            <w:r w:rsidR="0017212C">
              <w:rPr>
                <w:rFonts w:ascii="TeleNeo Office" w:eastAsia="Arial" w:hAnsi="TeleNeo Office" w:cs="Arial"/>
              </w:rPr>
              <w:t xml:space="preserve">Ваквиот рок е потребен </w:t>
            </w:r>
            <w:r w:rsidR="00CF6108">
              <w:rPr>
                <w:rFonts w:ascii="TeleNeo Office" w:eastAsia="Arial" w:hAnsi="TeleNeo Office" w:cs="Arial"/>
              </w:rPr>
              <w:t>бидејќи усогласувањето со одредбите од овој закон може да подразбира јавна набавка, објавување на тендер и оперативна работа за кој е потребно поголем временски период.</w:t>
            </w:r>
          </w:p>
          <w:p w:rsidR="00507C42" w:rsidRPr="00802090" w:rsidRDefault="00802090" w:rsidP="00DC0435">
            <w:pPr>
              <w:rPr>
                <w:rFonts w:ascii="TeleNeo Office" w:eastAsia="Arial" w:hAnsi="TeleNeo Office" w:cs="Arial"/>
              </w:rPr>
            </w:pPr>
            <w:r>
              <w:rPr>
                <w:rFonts w:ascii="TeleNeo Office" w:eastAsia="Arial" w:hAnsi="TeleNeo Office" w:cs="Arial"/>
              </w:rPr>
              <w:t>Доколку операторот не постапи по обврските од став а</w:t>
            </w:r>
            <w:r w:rsidR="00CF6108">
              <w:rPr>
                <w:rFonts w:ascii="TeleNeo Office" w:eastAsia="Arial" w:hAnsi="TeleNeo Office" w:cs="Arial"/>
                <w:lang w:val="en-US"/>
              </w:rPr>
              <w:t>)</w:t>
            </w:r>
            <w:r>
              <w:rPr>
                <w:rFonts w:ascii="TeleNeo Office" w:eastAsia="Arial" w:hAnsi="TeleNeo Office" w:cs="Arial"/>
              </w:rPr>
              <w:t xml:space="preserve"> агенцијата може да  преземе и други мерки кои точно треба да се дефинираат во кој случај која мерка ќе се примени. Покренување на прекршочна пост</w:t>
            </w:r>
            <w:r>
              <w:rPr>
                <w:rFonts w:ascii="TeleNeo Office" w:eastAsia="Arial" w:hAnsi="TeleNeo Office" w:cs="Arial"/>
                <w:lang w:val="en-US"/>
              </w:rPr>
              <w:t>a</w:t>
            </w:r>
            <w:r>
              <w:rPr>
                <w:rFonts w:ascii="TeleNeo Office" w:eastAsia="Arial" w:hAnsi="TeleNeo Office" w:cs="Arial"/>
              </w:rPr>
              <w:t xml:space="preserve">пка пред надлежен суд од став </w:t>
            </w:r>
            <w:r>
              <w:rPr>
                <w:rFonts w:ascii="TeleNeo Office" w:eastAsia="Arial" w:hAnsi="TeleNeo Office" w:cs="Arial"/>
                <w:lang w:val="en-US"/>
              </w:rPr>
              <w:t>i)</w:t>
            </w:r>
            <w:r>
              <w:rPr>
                <w:rFonts w:ascii="TeleNeo Office" w:eastAsia="Arial" w:hAnsi="TeleNeo Office" w:cs="Arial"/>
              </w:rPr>
              <w:t xml:space="preserve"> сметаме дека треба да се избрише.</w:t>
            </w:r>
          </w:p>
        </w:tc>
      </w:tr>
      <w:tr w:rsidR="004412C7" w:rsidRPr="00ED46FA" w:rsidTr="00CF6108">
        <w:tc>
          <w:tcPr>
            <w:tcW w:w="1838" w:type="dxa"/>
          </w:tcPr>
          <w:p w:rsidR="004412C7" w:rsidRPr="00541947" w:rsidRDefault="00D55672" w:rsidP="004412C7">
            <w:pPr>
              <w:spacing w:after="120"/>
              <w:jc w:val="center"/>
              <w:rPr>
                <w:rFonts w:ascii="TeleNeo Office" w:hAnsi="TeleNeo Office" w:cs="Arial"/>
                <w:b/>
              </w:rPr>
            </w:pPr>
            <w:r w:rsidRPr="00541947">
              <w:rPr>
                <w:rFonts w:ascii="TeleNeo Office" w:hAnsi="TeleNeo Office" w:cs="Arial"/>
                <w:b/>
              </w:rPr>
              <w:t xml:space="preserve">Член 68 </w:t>
            </w:r>
            <w:r w:rsidR="004412C7" w:rsidRPr="00541947">
              <w:rPr>
                <w:rFonts w:ascii="TeleNeo Office" w:hAnsi="TeleNeo Office" w:cs="Arial"/>
                <w:b/>
              </w:rPr>
              <w:t>Прекршоци</w:t>
            </w:r>
          </w:p>
          <w:p w:rsidR="004412C7" w:rsidRPr="0003481D" w:rsidRDefault="004412C7" w:rsidP="004412C7">
            <w:pPr>
              <w:pStyle w:val="NormalWeb"/>
              <w:shd w:val="clear" w:color="auto" w:fill="FFFFFF"/>
              <w:spacing w:after="0"/>
              <w:jc w:val="center"/>
              <w:rPr>
                <w:rFonts w:ascii="TeleNeo Office" w:hAnsi="TeleNeo Office" w:cs="Arial"/>
                <w:b/>
                <w:color w:val="222222"/>
                <w:sz w:val="22"/>
                <w:szCs w:val="22"/>
              </w:rPr>
            </w:pPr>
          </w:p>
        </w:tc>
        <w:tc>
          <w:tcPr>
            <w:tcW w:w="4961" w:type="dxa"/>
          </w:tcPr>
          <w:p w:rsidR="004412C7" w:rsidRPr="0003481D" w:rsidRDefault="00D55672" w:rsidP="00491A48">
            <w:pPr>
              <w:pStyle w:val="NormalWeb"/>
              <w:shd w:val="clear" w:color="auto" w:fill="FFFFFF"/>
              <w:spacing w:before="0" w:beforeAutospacing="0" w:after="120" w:afterAutospacing="0"/>
              <w:jc w:val="both"/>
              <w:rPr>
                <w:rFonts w:ascii="TeleNeo Office" w:hAnsi="TeleNeo Office" w:cs="Arial"/>
                <w:color w:val="222222"/>
                <w:sz w:val="22"/>
                <w:szCs w:val="22"/>
              </w:rPr>
            </w:pPr>
            <w:r w:rsidRPr="00D55672">
              <w:rPr>
                <w:rFonts w:ascii="TeleNeo Office" w:hAnsi="TeleNeo Office" w:cs="Arial"/>
                <w:color w:val="222222"/>
                <w:sz w:val="22"/>
                <w:szCs w:val="22"/>
              </w:rPr>
              <w:t>(1)</w:t>
            </w:r>
            <w:r w:rsidRPr="00D55672">
              <w:rPr>
                <w:rFonts w:ascii="TeleNeo Office" w:hAnsi="TeleNeo Office" w:cs="Arial"/>
                <w:color w:val="222222"/>
                <w:sz w:val="22"/>
                <w:szCs w:val="22"/>
              </w:rPr>
              <w:tab/>
              <w:t>Глоба во износ од  2%  од вкупниот годишен приход на  операторот на суштински услуги, односно глоба во износ од  1,4% од вкупниот годишен приход на операторот на важни услуги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операторот на суштински услуги, односно операторот на важни услуги започнал да работи, ќе му се изрече за прекршок на операторот на суштински услуги со исклучок на органите на државната управа и  правнитене лица на кои со закон им е доверено да вршат јавни овластувања на државно ниво, како и на операторот на важни услуги ако:</w:t>
            </w:r>
          </w:p>
        </w:tc>
        <w:tc>
          <w:tcPr>
            <w:tcW w:w="7149" w:type="dxa"/>
          </w:tcPr>
          <w:p w:rsidR="004412C7" w:rsidRDefault="00D55672" w:rsidP="00DC0435">
            <w:pPr>
              <w:rPr>
                <w:rFonts w:ascii="TeleNeo Office" w:eastAsia="Arial" w:hAnsi="TeleNeo Office" w:cs="Arial"/>
              </w:rPr>
            </w:pPr>
            <w:r>
              <w:rPr>
                <w:rFonts w:ascii="TeleNeo Office" w:eastAsia="Arial" w:hAnsi="TeleNeo Office" w:cs="Arial"/>
              </w:rPr>
              <w:t xml:space="preserve">Оваа одредба не е во согласност со </w:t>
            </w:r>
            <w:r>
              <w:rPr>
                <w:rFonts w:ascii="TeleNeo Office" w:eastAsia="Arial" w:hAnsi="TeleNeo Office" w:cs="Arial"/>
                <w:lang w:val="en-US"/>
              </w:rPr>
              <w:t xml:space="preserve">NIS 2 </w:t>
            </w:r>
            <w:r>
              <w:rPr>
                <w:rFonts w:ascii="TeleNeo Office" w:eastAsia="Arial" w:hAnsi="TeleNeo Office" w:cs="Arial"/>
              </w:rPr>
              <w:t xml:space="preserve">директивата каде нема вакви ригорозни глоби односно глоби со фиксен износ, туку во зависност од тежината на прекршокот глобата може да биде и помала од </w:t>
            </w:r>
            <w:r w:rsidRPr="00D55672">
              <w:rPr>
                <w:rFonts w:ascii="TeleNeo Office" w:hAnsi="TeleNeo Office" w:cs="Arial"/>
                <w:b/>
                <w:color w:val="222222"/>
              </w:rPr>
              <w:t>2%</w:t>
            </w:r>
            <w:r w:rsidRPr="00D55672">
              <w:rPr>
                <w:rFonts w:ascii="TeleNeo Office" w:hAnsi="TeleNeo Office" w:cs="Arial"/>
                <w:color w:val="222222"/>
              </w:rPr>
              <w:t xml:space="preserve">  </w:t>
            </w:r>
            <w:r>
              <w:rPr>
                <w:rFonts w:ascii="TeleNeo Office" w:hAnsi="TeleNeo Office" w:cs="Arial"/>
                <w:color w:val="222222"/>
              </w:rPr>
              <w:t xml:space="preserve">односно </w:t>
            </w:r>
            <w:r w:rsidRPr="00D55672">
              <w:rPr>
                <w:rFonts w:ascii="TeleNeo Office" w:hAnsi="TeleNeo Office" w:cs="Arial"/>
                <w:b/>
                <w:color w:val="222222"/>
              </w:rPr>
              <w:t>1,4%</w:t>
            </w:r>
            <w:r>
              <w:rPr>
                <w:rFonts w:ascii="TeleNeo Office" w:hAnsi="TeleNeo Office" w:cs="Arial"/>
                <w:b/>
                <w:color w:val="222222"/>
              </w:rPr>
              <w:t>.</w:t>
            </w:r>
          </w:p>
          <w:p w:rsidR="00D55672" w:rsidRDefault="00D55672" w:rsidP="00DC0435">
            <w:pPr>
              <w:rPr>
                <w:rFonts w:ascii="TeleNeo Office" w:hAnsi="TeleNeo Office" w:cs="Arial"/>
                <w:color w:val="222222"/>
              </w:rPr>
            </w:pPr>
            <w:r>
              <w:rPr>
                <w:rFonts w:ascii="TeleNeo Office" w:eastAsia="Arial" w:hAnsi="TeleNeo Office" w:cs="Arial"/>
              </w:rPr>
              <w:t xml:space="preserve">Предлагаме глобата да се определува во износ </w:t>
            </w:r>
            <w:r w:rsidRPr="00D55672">
              <w:rPr>
                <w:rFonts w:ascii="TeleNeo Office" w:eastAsia="Arial" w:hAnsi="TeleNeo Office" w:cs="Arial"/>
                <w:b/>
              </w:rPr>
              <w:t xml:space="preserve">до </w:t>
            </w:r>
            <w:r w:rsidRPr="00D55672">
              <w:rPr>
                <w:rFonts w:ascii="TeleNeo Office" w:hAnsi="TeleNeo Office" w:cs="Arial"/>
                <w:b/>
              </w:rPr>
              <w:t>2%</w:t>
            </w:r>
            <w:r w:rsidRPr="00D55672">
              <w:rPr>
                <w:rFonts w:ascii="TeleNeo Office" w:hAnsi="TeleNeo Office" w:cs="Arial"/>
              </w:rPr>
              <w:t xml:space="preserve">  </w:t>
            </w:r>
            <w:r w:rsidRPr="00D55672">
              <w:rPr>
                <w:rFonts w:ascii="TeleNeo Office" w:hAnsi="TeleNeo Office" w:cs="Arial"/>
                <w:color w:val="222222"/>
              </w:rPr>
              <w:t xml:space="preserve">од вкупниот годишен приход на  операторот на суштински услуги, односно глоба во износ </w:t>
            </w:r>
            <w:r w:rsidRPr="00D55672">
              <w:rPr>
                <w:rFonts w:ascii="TeleNeo Office" w:hAnsi="TeleNeo Office" w:cs="Arial"/>
                <w:b/>
                <w:color w:val="222222"/>
              </w:rPr>
              <w:t>до  1,4%</w:t>
            </w:r>
            <w:r w:rsidRPr="00D55672">
              <w:rPr>
                <w:rFonts w:ascii="TeleNeo Office" w:hAnsi="TeleNeo Office" w:cs="Arial"/>
                <w:color w:val="222222"/>
              </w:rPr>
              <w:t xml:space="preserve"> од вкупниот годишен приход на операторот на важни услуги (изразена во апсолутен износ) остварен во деловната година што и претходи на годината кога е сторен прекршокот</w:t>
            </w:r>
            <w:r>
              <w:rPr>
                <w:rFonts w:ascii="TeleNeo Office" w:hAnsi="TeleNeo Office" w:cs="Arial"/>
                <w:color w:val="222222"/>
              </w:rPr>
              <w:t>.</w:t>
            </w:r>
          </w:p>
          <w:p w:rsidR="00E26760" w:rsidRPr="003728E7" w:rsidRDefault="00F550D6" w:rsidP="00DC0435">
            <w:pPr>
              <w:rPr>
                <w:rFonts w:ascii="TeleNeo Office" w:eastAsia="Arial" w:hAnsi="TeleNeo Office" w:cs="Arial"/>
                <w:lang w:val="en-US"/>
              </w:rPr>
            </w:pPr>
            <w:r>
              <w:rPr>
                <w:rFonts w:ascii="TeleNeo Office" w:eastAsia="Arial" w:hAnsi="TeleNeo Office" w:cs="Arial"/>
              </w:rPr>
              <w:t>Дополнително треба да се ус</w:t>
            </w:r>
            <w:r w:rsidR="0014065F">
              <w:rPr>
                <w:rFonts w:ascii="TeleNeo Office" w:eastAsia="Arial" w:hAnsi="TeleNeo Office" w:cs="Arial"/>
              </w:rPr>
              <w:t>о</w:t>
            </w:r>
            <w:r>
              <w:rPr>
                <w:rFonts w:ascii="TeleNeo Office" w:eastAsia="Arial" w:hAnsi="TeleNeo Office" w:cs="Arial"/>
              </w:rPr>
              <w:t>гласат глобите во овој предлог закон со глобите во Законот за електронски комуникации</w:t>
            </w:r>
            <w:r w:rsidR="008510D9">
              <w:rPr>
                <w:rFonts w:ascii="TeleNeo Office" w:eastAsia="Arial" w:hAnsi="TeleNeo Office" w:cs="Arial"/>
              </w:rPr>
              <w:t xml:space="preserve"> кои се однесуваат на неисполнување на обврските за безбедност и интегритет на електронски комуникациски мрежи и услуги.</w:t>
            </w:r>
          </w:p>
        </w:tc>
      </w:tr>
      <w:tr w:rsidR="00B35400" w:rsidRPr="00ED46FA" w:rsidTr="00CF6108">
        <w:trPr>
          <w:trHeight w:val="1190"/>
        </w:trPr>
        <w:tc>
          <w:tcPr>
            <w:tcW w:w="1838" w:type="dxa"/>
          </w:tcPr>
          <w:p w:rsidR="00B35400" w:rsidRPr="00541947" w:rsidRDefault="00B35400" w:rsidP="004412C7">
            <w:pPr>
              <w:spacing w:after="120"/>
              <w:jc w:val="center"/>
              <w:rPr>
                <w:rFonts w:ascii="TeleNeo Office" w:hAnsi="TeleNeo Office" w:cs="Arial"/>
                <w:b/>
              </w:rPr>
            </w:pPr>
            <w:r w:rsidRPr="00541947">
              <w:rPr>
                <w:rFonts w:ascii="TeleNeo Office" w:hAnsi="TeleNeo Office" w:cs="Arial"/>
                <w:b/>
              </w:rPr>
              <w:lastRenderedPageBreak/>
              <w:t>Член 76</w:t>
            </w:r>
          </w:p>
        </w:tc>
        <w:tc>
          <w:tcPr>
            <w:tcW w:w="4961" w:type="dxa"/>
          </w:tcPr>
          <w:p w:rsidR="00B35400" w:rsidRPr="00B35400" w:rsidRDefault="00B35400" w:rsidP="00B35400">
            <w:pPr>
              <w:pStyle w:val="NormalWeb"/>
              <w:shd w:val="clear" w:color="auto" w:fill="FFFFFF"/>
              <w:spacing w:before="0" w:beforeAutospacing="0" w:after="0" w:afterAutospacing="0"/>
              <w:jc w:val="both"/>
              <w:rPr>
                <w:rFonts w:ascii="TeleNeo Office" w:hAnsi="TeleNeo Office" w:cs="Arial"/>
                <w:color w:val="222222"/>
                <w:sz w:val="22"/>
                <w:szCs w:val="22"/>
              </w:rPr>
            </w:pPr>
          </w:p>
          <w:p w:rsidR="00B35400" w:rsidRPr="00D55672" w:rsidRDefault="00B35400" w:rsidP="00B35400">
            <w:pPr>
              <w:pStyle w:val="NormalWeb"/>
              <w:shd w:val="clear" w:color="auto" w:fill="FFFFFF"/>
              <w:spacing w:before="0" w:beforeAutospacing="0" w:after="0" w:afterAutospacing="0"/>
              <w:jc w:val="both"/>
              <w:rPr>
                <w:rFonts w:ascii="TeleNeo Office" w:hAnsi="TeleNeo Office" w:cs="Arial"/>
                <w:color w:val="222222"/>
                <w:sz w:val="22"/>
                <w:szCs w:val="22"/>
              </w:rPr>
            </w:pPr>
            <w:r w:rsidRPr="00B35400">
              <w:rPr>
                <w:rFonts w:ascii="TeleNeo Office" w:hAnsi="TeleNeo Office" w:cs="Arial"/>
                <w:color w:val="222222"/>
                <w:sz w:val="22"/>
                <w:szCs w:val="22"/>
              </w:rPr>
              <w:t xml:space="preserve"> Комисијата на Агенцијата ќе ги усвои подзаконските акти кои произлегуваат од овој Закон, во рок од девет месеци од денот на влегување во сила на овој закон</w:t>
            </w:r>
          </w:p>
        </w:tc>
        <w:tc>
          <w:tcPr>
            <w:tcW w:w="7149" w:type="dxa"/>
          </w:tcPr>
          <w:p w:rsidR="00B35400" w:rsidRDefault="00B35400" w:rsidP="00DC0435">
            <w:pPr>
              <w:rPr>
                <w:rFonts w:ascii="TeleNeo Office" w:eastAsia="Arial" w:hAnsi="TeleNeo Office" w:cs="Arial"/>
              </w:rPr>
            </w:pPr>
            <w:r>
              <w:rPr>
                <w:rFonts w:ascii="TeleNeo Office" w:eastAsia="Arial" w:hAnsi="TeleNeo Office" w:cs="Arial"/>
              </w:rPr>
              <w:t xml:space="preserve">Сметаме дека треба да се има во предвид дека </w:t>
            </w:r>
            <w:r>
              <w:rPr>
                <w:rFonts w:ascii="TeleNeo Office" w:eastAsia="Arial" w:hAnsi="TeleNeo Office" w:cs="Arial"/>
                <w:lang w:val="en-US"/>
              </w:rPr>
              <w:t xml:space="preserve">NIS2 </w:t>
            </w:r>
            <w:r>
              <w:rPr>
                <w:rFonts w:ascii="TeleNeo Office" w:eastAsia="Arial" w:hAnsi="TeleNeo Office" w:cs="Arial"/>
              </w:rPr>
              <w:t xml:space="preserve">директивата ќе стапи на сила </w:t>
            </w:r>
            <w:r w:rsidR="00200DFB">
              <w:rPr>
                <w:rFonts w:ascii="TeleNeo Office" w:eastAsia="Arial" w:hAnsi="TeleNeo Office" w:cs="Arial"/>
              </w:rPr>
              <w:t>на</w:t>
            </w:r>
            <w:r>
              <w:rPr>
                <w:rFonts w:ascii="TeleNeo Office" w:eastAsia="Arial" w:hAnsi="TeleNeo Office" w:cs="Arial"/>
              </w:rPr>
              <w:t xml:space="preserve"> </w:t>
            </w:r>
            <w:r w:rsidR="00200DFB" w:rsidRPr="00200DFB">
              <w:rPr>
                <w:rFonts w:ascii="TeleNeo Office" w:eastAsia="Arial" w:hAnsi="TeleNeo Office" w:cs="Arial"/>
              </w:rPr>
              <w:t>18 октомври</w:t>
            </w:r>
            <w:r>
              <w:rPr>
                <w:rFonts w:ascii="TeleNeo Office" w:eastAsia="Arial" w:hAnsi="TeleNeo Office" w:cs="Arial"/>
              </w:rPr>
              <w:t xml:space="preserve"> 2024 година а до тогаш </w:t>
            </w:r>
            <w:r w:rsidR="00613F35">
              <w:rPr>
                <w:rFonts w:ascii="TeleNeo Office" w:eastAsia="Arial" w:hAnsi="TeleNeo Office" w:cs="Arial"/>
              </w:rPr>
              <w:t xml:space="preserve">треба да се усвои и да стапи на сила и </w:t>
            </w:r>
            <w:r w:rsidR="00AB6304">
              <w:rPr>
                <w:rFonts w:ascii="TeleNeo Office" w:eastAsia="Arial" w:hAnsi="TeleNeo Office" w:cs="Arial"/>
                <w:lang w:val="en-US"/>
              </w:rPr>
              <w:t xml:space="preserve">Draft </w:t>
            </w:r>
            <w:r w:rsidR="00613F35" w:rsidRPr="00613F35">
              <w:rPr>
                <w:rFonts w:ascii="TeleNeo Office" w:eastAsia="Arial" w:hAnsi="TeleNeo Office" w:cs="Arial"/>
              </w:rPr>
              <w:t>EU Cyber Resilience Act (CRA)</w:t>
            </w:r>
            <w:r w:rsidR="00613F35">
              <w:rPr>
                <w:rFonts w:ascii="TeleNeo Office" w:eastAsia="Arial" w:hAnsi="TeleNeo Office" w:cs="Arial"/>
              </w:rPr>
              <w:t>, кој моментално е во фаза на усвојување на заб</w:t>
            </w:r>
            <w:r w:rsidR="00200DFB">
              <w:rPr>
                <w:rFonts w:ascii="TeleNeo Office" w:eastAsia="Arial" w:hAnsi="TeleNeo Office" w:cs="Arial"/>
              </w:rPr>
              <w:t xml:space="preserve">елешки </w:t>
            </w:r>
            <w:r w:rsidR="00613F35">
              <w:rPr>
                <w:rFonts w:ascii="TeleNeo Office" w:eastAsia="Arial" w:hAnsi="TeleNeo Office" w:cs="Arial"/>
              </w:rPr>
              <w:t xml:space="preserve">(преговири ) </w:t>
            </w:r>
            <w:r w:rsidR="00B81F15">
              <w:rPr>
                <w:rFonts w:ascii="TeleNeo Office" w:eastAsia="Arial" w:hAnsi="TeleNeo Office" w:cs="Arial"/>
              </w:rPr>
              <w:t xml:space="preserve">на </w:t>
            </w:r>
            <w:r w:rsidR="00B81F15">
              <w:rPr>
                <w:rFonts w:ascii="TeleNeo Office" w:eastAsia="Arial" w:hAnsi="TeleNeo Office" w:cs="Arial"/>
                <w:lang w:val="en-US"/>
              </w:rPr>
              <w:t xml:space="preserve">EU Commission </w:t>
            </w:r>
            <w:r w:rsidR="00613F35">
              <w:rPr>
                <w:rFonts w:ascii="TeleNeo Office" w:eastAsia="Arial" w:hAnsi="TeleNeo Office" w:cs="Arial"/>
              </w:rPr>
              <w:t xml:space="preserve">со </w:t>
            </w:r>
            <w:r w:rsidR="00613F35" w:rsidRPr="00613F35">
              <w:rPr>
                <w:rFonts w:ascii="TeleNeo Office" w:eastAsia="Arial" w:hAnsi="TeleNeo Office" w:cs="Arial"/>
              </w:rPr>
              <w:t>European Parliament (EP)</w:t>
            </w:r>
            <w:r w:rsidR="00613F35">
              <w:rPr>
                <w:rFonts w:ascii="TeleNeo Office" w:eastAsia="Arial" w:hAnsi="TeleNeo Office" w:cs="Arial"/>
              </w:rPr>
              <w:t xml:space="preserve"> и </w:t>
            </w:r>
            <w:r w:rsidR="00613F35" w:rsidRPr="00613F35">
              <w:rPr>
                <w:rFonts w:ascii="TeleNeo Office" w:eastAsia="Arial" w:hAnsi="TeleNeo Office" w:cs="Arial"/>
              </w:rPr>
              <w:t>Council of the EU</w:t>
            </w:r>
            <w:r w:rsidR="00613F35">
              <w:rPr>
                <w:rFonts w:ascii="TeleNeo Office" w:eastAsia="Arial" w:hAnsi="TeleNeo Office" w:cs="Arial"/>
              </w:rPr>
              <w:t xml:space="preserve">. Во </w:t>
            </w:r>
            <w:r w:rsidR="00613F35" w:rsidRPr="00613F35">
              <w:rPr>
                <w:rFonts w:ascii="TeleNeo Office" w:eastAsia="Arial" w:hAnsi="TeleNeo Office" w:cs="Arial"/>
              </w:rPr>
              <w:t>CRA</w:t>
            </w:r>
            <w:r w:rsidR="00613F35">
              <w:rPr>
                <w:rFonts w:ascii="TeleNeo Office" w:eastAsia="Arial" w:hAnsi="TeleNeo Office" w:cs="Arial"/>
              </w:rPr>
              <w:t xml:space="preserve"> се предвидува и преоден период за имплементација на одредбите од актот од најмалку 18 месеци од стапување на сила, а според </w:t>
            </w:r>
            <w:r w:rsidR="00613F35" w:rsidRPr="00613F35">
              <w:rPr>
                <w:rFonts w:ascii="TeleNeo Office" w:eastAsia="Arial" w:hAnsi="TeleNeo Office" w:cs="Arial"/>
              </w:rPr>
              <w:t>European Commission</w:t>
            </w:r>
            <w:r w:rsidR="00613F35">
              <w:rPr>
                <w:rFonts w:ascii="TeleNeo Office" w:eastAsia="Arial" w:hAnsi="TeleNeo Office" w:cs="Arial"/>
              </w:rPr>
              <w:t xml:space="preserve"> предлогот е 2 години.</w:t>
            </w:r>
          </w:p>
          <w:p w:rsidR="00613F35" w:rsidRPr="00541947" w:rsidRDefault="00200DFB" w:rsidP="00DC0435">
            <w:pPr>
              <w:rPr>
                <w:rFonts w:ascii="TeleNeo Office" w:eastAsia="Arial" w:hAnsi="TeleNeo Office" w:cs="Arial"/>
                <w:lang w:val="en-US"/>
              </w:rPr>
            </w:pPr>
            <w:r>
              <w:rPr>
                <w:rFonts w:ascii="TeleNeo Office" w:eastAsia="Arial" w:hAnsi="TeleNeo Office" w:cs="Arial"/>
              </w:rPr>
              <w:t>Во</w:t>
            </w:r>
            <w:r w:rsidR="00613F35">
              <w:rPr>
                <w:rFonts w:ascii="TeleNeo Office" w:eastAsia="Arial" w:hAnsi="TeleNeo Office" w:cs="Arial"/>
              </w:rPr>
              <w:t xml:space="preserve"> преодните одредби на овој закон сметаме дека треба да се имаат во предвид и роковите за имплементација на одредбите од </w:t>
            </w:r>
            <w:r w:rsidR="00613F35">
              <w:rPr>
                <w:rFonts w:ascii="TeleNeo Office" w:eastAsia="Arial" w:hAnsi="TeleNeo Office" w:cs="Arial"/>
                <w:lang w:val="en-US"/>
              </w:rPr>
              <w:t xml:space="preserve">NIS2 </w:t>
            </w:r>
            <w:r w:rsidR="00613F35">
              <w:rPr>
                <w:rFonts w:ascii="TeleNeo Office" w:eastAsia="Arial" w:hAnsi="TeleNeo Office" w:cs="Arial"/>
              </w:rPr>
              <w:t xml:space="preserve">директивата и </w:t>
            </w:r>
            <w:r w:rsidR="00AB6304">
              <w:rPr>
                <w:rFonts w:ascii="TeleNeo Office" w:eastAsia="Arial" w:hAnsi="TeleNeo Office" w:cs="Arial"/>
                <w:lang w:val="en-US"/>
              </w:rPr>
              <w:t xml:space="preserve">Draft </w:t>
            </w:r>
            <w:r w:rsidR="00613F35" w:rsidRPr="00613F35">
              <w:rPr>
                <w:rFonts w:ascii="TeleNeo Office" w:eastAsia="Arial" w:hAnsi="TeleNeo Office" w:cs="Arial"/>
              </w:rPr>
              <w:t>EU Cyber Resilience Act (CRA)</w:t>
            </w:r>
            <w:r>
              <w:rPr>
                <w:rFonts w:ascii="TeleNeo Office" w:eastAsia="Arial" w:hAnsi="TeleNeo Office" w:cs="Arial"/>
              </w:rPr>
              <w:t xml:space="preserve">, за да не дојдеме во ситуација </w:t>
            </w:r>
            <w:r w:rsidRPr="00200DFB">
              <w:rPr>
                <w:rFonts w:ascii="TeleNeo Office" w:eastAsia="Arial" w:hAnsi="TeleNeo Office" w:cs="Arial"/>
              </w:rPr>
              <w:t xml:space="preserve"> Македонија </w:t>
            </w:r>
            <w:r>
              <w:rPr>
                <w:rFonts w:ascii="TeleNeo Office" w:eastAsia="Arial" w:hAnsi="TeleNeo Office" w:cs="Arial"/>
              </w:rPr>
              <w:t xml:space="preserve">да ја транспонира </w:t>
            </w:r>
            <w:r>
              <w:rPr>
                <w:rFonts w:ascii="TeleNeo Office" w:eastAsia="Arial" w:hAnsi="TeleNeo Office" w:cs="Arial"/>
                <w:lang w:val="en-US"/>
              </w:rPr>
              <w:t xml:space="preserve">NIS2 </w:t>
            </w:r>
            <w:r>
              <w:rPr>
                <w:rFonts w:ascii="TeleNeo Office" w:eastAsia="Arial" w:hAnsi="TeleNeo Office" w:cs="Arial"/>
              </w:rPr>
              <w:t>директивата</w:t>
            </w:r>
            <w:r w:rsidRPr="00200DFB">
              <w:rPr>
                <w:rFonts w:ascii="TeleNeo Office" w:eastAsia="Arial" w:hAnsi="TeleNeo Office" w:cs="Arial"/>
              </w:rPr>
              <w:t xml:space="preserve"> </w:t>
            </w:r>
            <w:r w:rsidR="00B81F15">
              <w:rPr>
                <w:rFonts w:ascii="TeleNeo Office" w:eastAsia="Arial" w:hAnsi="TeleNeo Office" w:cs="Arial"/>
              </w:rPr>
              <w:t xml:space="preserve">и придружните акти </w:t>
            </w:r>
            <w:r w:rsidRPr="00200DFB">
              <w:rPr>
                <w:rFonts w:ascii="TeleNeo Office" w:eastAsia="Arial" w:hAnsi="TeleNeo Office" w:cs="Arial"/>
              </w:rPr>
              <w:t>пред да се донес</w:t>
            </w:r>
            <w:r w:rsidR="00B81F15">
              <w:rPr>
                <w:rFonts w:ascii="TeleNeo Office" w:eastAsia="Arial" w:hAnsi="TeleNeo Office" w:cs="Arial"/>
              </w:rPr>
              <w:t>ат</w:t>
            </w:r>
            <w:r w:rsidRPr="00200DFB">
              <w:rPr>
                <w:rFonts w:ascii="TeleNeo Office" w:eastAsia="Arial" w:hAnsi="TeleNeo Office" w:cs="Arial"/>
              </w:rPr>
              <w:t xml:space="preserve"> </w:t>
            </w:r>
            <w:r w:rsidR="00B81F15">
              <w:rPr>
                <w:rFonts w:ascii="TeleNeo Office" w:eastAsia="Arial" w:hAnsi="TeleNeo Office" w:cs="Arial"/>
              </w:rPr>
              <w:t xml:space="preserve">и </w:t>
            </w:r>
            <w:r w:rsidRPr="00200DFB">
              <w:rPr>
                <w:rFonts w:ascii="TeleNeo Office" w:eastAsia="Arial" w:hAnsi="TeleNeo Office" w:cs="Arial"/>
              </w:rPr>
              <w:t>примен</w:t>
            </w:r>
            <w:r w:rsidR="00B81F15">
              <w:rPr>
                <w:rFonts w:ascii="TeleNeo Office" w:eastAsia="Arial" w:hAnsi="TeleNeo Office" w:cs="Arial"/>
              </w:rPr>
              <w:t>ат</w:t>
            </w:r>
            <w:r w:rsidRPr="00200DFB">
              <w:rPr>
                <w:rFonts w:ascii="TeleNeo Office" w:eastAsia="Arial" w:hAnsi="TeleNeo Office" w:cs="Arial"/>
              </w:rPr>
              <w:t xml:space="preserve"> од земјите членки на Унијата.</w:t>
            </w:r>
            <w:r w:rsidR="00773B39">
              <w:rPr>
                <w:rFonts w:ascii="TeleNeo Office" w:eastAsia="Arial" w:hAnsi="TeleNeo Office" w:cs="Arial"/>
              </w:rPr>
              <w:t xml:space="preserve"> </w:t>
            </w:r>
          </w:p>
        </w:tc>
      </w:tr>
      <w:tr w:rsidR="00B35400" w:rsidRPr="00ED46FA" w:rsidTr="00CF6108">
        <w:tc>
          <w:tcPr>
            <w:tcW w:w="1838" w:type="dxa"/>
          </w:tcPr>
          <w:p w:rsidR="00B35400" w:rsidRPr="00541947" w:rsidRDefault="00B35400" w:rsidP="00B35400">
            <w:pPr>
              <w:spacing w:after="120"/>
              <w:jc w:val="center"/>
              <w:rPr>
                <w:rFonts w:ascii="TeleNeo Office" w:hAnsi="TeleNeo Office" w:cs="Arial"/>
                <w:b/>
              </w:rPr>
            </w:pPr>
            <w:r w:rsidRPr="00541947">
              <w:rPr>
                <w:rFonts w:ascii="TeleNeo Office" w:hAnsi="TeleNeo Office" w:cs="Arial"/>
                <w:b/>
              </w:rPr>
              <w:t>Член 77</w:t>
            </w:r>
          </w:p>
          <w:p w:rsidR="00B35400" w:rsidRPr="00D55672" w:rsidRDefault="00B35400" w:rsidP="004412C7">
            <w:pPr>
              <w:spacing w:after="120"/>
              <w:jc w:val="center"/>
              <w:rPr>
                <w:rFonts w:ascii="TeleNeo Office" w:hAnsi="TeleNeo Office" w:cs="Arial"/>
                <w:b/>
                <w:sz w:val="24"/>
                <w:szCs w:val="24"/>
              </w:rPr>
            </w:pPr>
          </w:p>
        </w:tc>
        <w:tc>
          <w:tcPr>
            <w:tcW w:w="4961" w:type="dxa"/>
          </w:tcPr>
          <w:p w:rsidR="00B35400" w:rsidRPr="00D55672" w:rsidRDefault="00B35400" w:rsidP="00491A48">
            <w:pPr>
              <w:pStyle w:val="NormalWeb"/>
              <w:shd w:val="clear" w:color="auto" w:fill="FFFFFF"/>
              <w:spacing w:before="0" w:beforeAutospacing="0" w:after="120" w:afterAutospacing="0"/>
              <w:jc w:val="both"/>
              <w:rPr>
                <w:rFonts w:ascii="TeleNeo Office" w:hAnsi="TeleNeo Office" w:cs="Arial"/>
                <w:color w:val="222222"/>
                <w:sz w:val="22"/>
                <w:szCs w:val="22"/>
              </w:rPr>
            </w:pPr>
            <w:r w:rsidRPr="00B35400">
              <w:rPr>
                <w:rFonts w:ascii="TeleNeo Office" w:hAnsi="TeleNeo Office" w:cs="Arial"/>
                <w:color w:val="222222"/>
                <w:sz w:val="22"/>
                <w:szCs w:val="22"/>
              </w:rPr>
              <w:t xml:space="preserve">Законот за електронски документи, електронска идентификација и доверливи услуги, Законот за електронски услуги и електронско управување и Законот за централен регистар на население ќе се усогласат со одредбите од овој закон во рок од две години од денот на влегување во сила на овој закон </w:t>
            </w:r>
          </w:p>
        </w:tc>
        <w:tc>
          <w:tcPr>
            <w:tcW w:w="7149" w:type="dxa"/>
          </w:tcPr>
          <w:p w:rsidR="00B35400" w:rsidRDefault="00B35400" w:rsidP="00DC0435">
            <w:pPr>
              <w:rPr>
                <w:rFonts w:ascii="TeleNeo Office" w:eastAsia="Arial" w:hAnsi="TeleNeo Office" w:cs="Arial"/>
              </w:rPr>
            </w:pPr>
            <w:r>
              <w:rPr>
                <w:rFonts w:ascii="TeleNeo Office" w:eastAsia="Arial" w:hAnsi="TeleNeo Office" w:cs="Arial"/>
              </w:rPr>
              <w:t xml:space="preserve">Потребно е и во овој член да се напомене дека ќе се направи усогласување и со Законот за електронски комуникации поради тоа што надлежностите на </w:t>
            </w:r>
            <w:r w:rsidRPr="00B35400">
              <w:rPr>
                <w:rFonts w:ascii="TeleNeo Office" w:eastAsia="Arial" w:hAnsi="TeleNeo Office" w:cs="Arial"/>
              </w:rPr>
              <w:t>MKD-CIRT</w:t>
            </w:r>
            <w:r>
              <w:rPr>
                <w:rFonts w:ascii="TeleNeo Office" w:eastAsia="Arial" w:hAnsi="TeleNeo Office" w:cs="Arial"/>
                <w:lang w:val="en-US"/>
              </w:rPr>
              <w:t xml:space="preserve"> </w:t>
            </w:r>
            <w:r>
              <w:rPr>
                <w:rFonts w:ascii="TeleNeo Office" w:eastAsia="Arial" w:hAnsi="TeleNeo Office" w:cs="Arial"/>
              </w:rPr>
              <w:t>се дефинирани во овој закон, како и усогласување со др</w:t>
            </w:r>
            <w:r w:rsidR="0016082E">
              <w:rPr>
                <w:rFonts w:ascii="TeleNeo Office" w:eastAsia="Arial" w:hAnsi="TeleNeo Office" w:cs="Arial"/>
              </w:rPr>
              <w:t>у</w:t>
            </w:r>
            <w:r>
              <w:rPr>
                <w:rFonts w:ascii="TeleNeo Office" w:eastAsia="Arial" w:hAnsi="TeleNeo Office" w:cs="Arial"/>
              </w:rPr>
              <w:t>гите членови од ЗЕК кои се однесуваат на безбедност и интегритет на електронски комуникациски мрежи и услуги.</w:t>
            </w:r>
          </w:p>
          <w:p w:rsidR="003728E7" w:rsidRPr="00B35400" w:rsidRDefault="003728E7" w:rsidP="00DC0435">
            <w:pPr>
              <w:rPr>
                <w:rFonts w:ascii="TeleNeo Office" w:eastAsia="Arial" w:hAnsi="TeleNeo Office" w:cs="Arial"/>
              </w:rPr>
            </w:pPr>
            <w:r>
              <w:rPr>
                <w:rFonts w:ascii="TeleNeo Office" w:eastAsia="Arial" w:hAnsi="TeleNeo Office" w:cs="Arial"/>
              </w:rPr>
              <w:t xml:space="preserve">Услогласување со Законот за електронски комуникации е потребно и тоа со членовите  166-а, 166-б, 166-г, 166-д кои се однесуваат на </w:t>
            </w:r>
            <w:r w:rsidR="00774B79">
              <w:rPr>
                <w:rFonts w:ascii="TeleNeo Office" w:eastAsia="Arial" w:hAnsi="TeleNeo Office" w:cs="Arial"/>
              </w:rPr>
              <w:t>б</w:t>
            </w:r>
            <w:r w:rsidRPr="003728E7">
              <w:rPr>
                <w:rFonts w:ascii="TeleNeo Office" w:eastAsia="Arial" w:hAnsi="TeleNeo Office" w:cs="Arial"/>
              </w:rPr>
              <w:t>езбедно управување, работа и мониторирање на електронските комуникациски мрежи кај операторите</w:t>
            </w:r>
            <w:r>
              <w:rPr>
                <w:rFonts w:ascii="TeleNeo Office" w:eastAsia="Arial" w:hAnsi="TeleNeo Office" w:cs="Arial"/>
              </w:rPr>
              <w:t xml:space="preserve"> односно обврските од Законот за електронски комуникации се повторуваат во предлог З</w:t>
            </w:r>
            <w:r w:rsidRPr="003728E7">
              <w:rPr>
                <w:rFonts w:ascii="TeleNeo Office" w:eastAsia="Arial" w:hAnsi="TeleNeo Office" w:cs="Arial"/>
              </w:rPr>
              <w:t>акон за безбедност на мрежни и информациски системи и дигитална трансформација</w:t>
            </w:r>
            <w:r>
              <w:rPr>
                <w:rFonts w:ascii="TeleNeo Office" w:eastAsia="Arial" w:hAnsi="TeleNeo Office" w:cs="Arial"/>
              </w:rPr>
              <w:t xml:space="preserve">. </w:t>
            </w:r>
            <w:r w:rsidR="00774B79">
              <w:rPr>
                <w:rFonts w:ascii="TeleNeo Office" w:eastAsia="Arial" w:hAnsi="TeleNeo Office" w:cs="Arial"/>
              </w:rPr>
              <w:t>Истото важи и за прекршочните одредби од ЗЕК кои се однесуваат на членовите 166 -д каде глобата за неисполнување на обврските е 7-10% од вкупниот бруто приход.</w:t>
            </w:r>
            <w:r w:rsidR="00774B79">
              <w:rPr>
                <w:rFonts w:ascii="TeleNeo Office" w:eastAsia="Arial" w:hAnsi="TeleNeo Office" w:cs="Arial"/>
              </w:rPr>
              <w:t xml:space="preserve"> </w:t>
            </w:r>
            <w:r>
              <w:rPr>
                <w:rFonts w:ascii="TeleNeo Office" w:eastAsia="Arial" w:hAnsi="TeleNeo Office" w:cs="Arial"/>
              </w:rPr>
              <w:t xml:space="preserve">За да избегнеме двојна регулација предлагаме </w:t>
            </w:r>
            <w:r w:rsidR="00774B79">
              <w:rPr>
                <w:rFonts w:ascii="TeleNeo Office" w:eastAsia="Arial" w:hAnsi="TeleNeo Office" w:cs="Arial"/>
              </w:rPr>
              <w:t xml:space="preserve">пред да стапи на сила овој закон да се направат измени на ЗЕК. </w:t>
            </w:r>
            <w:bookmarkStart w:id="0" w:name="_GoBack"/>
            <w:bookmarkEnd w:id="0"/>
          </w:p>
        </w:tc>
      </w:tr>
    </w:tbl>
    <w:p w:rsidR="00B43EC1" w:rsidRPr="0070056D" w:rsidRDefault="00B43EC1" w:rsidP="00B43EC1">
      <w:pPr>
        <w:spacing w:after="120" w:line="276" w:lineRule="auto"/>
        <w:jc w:val="center"/>
        <w:rPr>
          <w:rFonts w:ascii="Arial" w:eastAsia="Arial" w:hAnsi="Arial" w:cs="Arial"/>
          <w:b/>
          <w:sz w:val="28"/>
          <w:szCs w:val="28"/>
        </w:rPr>
      </w:pPr>
    </w:p>
    <w:p w:rsidR="005A5233" w:rsidRDefault="005A5233"/>
    <w:sectPr w:rsidR="005A5233" w:rsidSect="00B43E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leNeo Office">
    <w:panose1 w:val="020B0504040202090203"/>
    <w:charset w:val="CC"/>
    <w:family w:val="swiss"/>
    <w:pitch w:val="variable"/>
    <w:sig w:usb0="00000207" w:usb1="00000001"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454"/>
    <w:multiLevelType w:val="hybridMultilevel"/>
    <w:tmpl w:val="7084D2A0"/>
    <w:lvl w:ilvl="0" w:tplc="213C566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E6A24E9"/>
    <w:multiLevelType w:val="hybridMultilevel"/>
    <w:tmpl w:val="4E78A3B0"/>
    <w:lvl w:ilvl="0" w:tplc="DBA6FA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66A74"/>
    <w:multiLevelType w:val="hybridMultilevel"/>
    <w:tmpl w:val="672EA6AC"/>
    <w:lvl w:ilvl="0" w:tplc="042F0013">
      <w:start w:val="1"/>
      <w:numFmt w:val="upperRoman"/>
      <w:lvlText w:val="%1."/>
      <w:lvlJc w:val="righ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493D5CC0"/>
    <w:multiLevelType w:val="hybridMultilevel"/>
    <w:tmpl w:val="8FCE3F5E"/>
    <w:lvl w:ilvl="0" w:tplc="213C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C1"/>
    <w:rsid w:val="0003481D"/>
    <w:rsid w:val="0005730B"/>
    <w:rsid w:val="000A3387"/>
    <w:rsid w:val="0014065F"/>
    <w:rsid w:val="0016082E"/>
    <w:rsid w:val="0017212C"/>
    <w:rsid w:val="001A683A"/>
    <w:rsid w:val="001B2135"/>
    <w:rsid w:val="001D7CAC"/>
    <w:rsid w:val="002000B3"/>
    <w:rsid w:val="00200DFB"/>
    <w:rsid w:val="0027157A"/>
    <w:rsid w:val="002A3155"/>
    <w:rsid w:val="002A5703"/>
    <w:rsid w:val="003048DE"/>
    <w:rsid w:val="003728E7"/>
    <w:rsid w:val="004412C7"/>
    <w:rsid w:val="00491A48"/>
    <w:rsid w:val="004C52C0"/>
    <w:rsid w:val="004F54E5"/>
    <w:rsid w:val="00507C42"/>
    <w:rsid w:val="00513FAE"/>
    <w:rsid w:val="00541947"/>
    <w:rsid w:val="00560C43"/>
    <w:rsid w:val="005A5233"/>
    <w:rsid w:val="005A74D3"/>
    <w:rsid w:val="00613F35"/>
    <w:rsid w:val="00680230"/>
    <w:rsid w:val="006C494C"/>
    <w:rsid w:val="00773B39"/>
    <w:rsid w:val="00774B79"/>
    <w:rsid w:val="007F00F4"/>
    <w:rsid w:val="00802090"/>
    <w:rsid w:val="00823AB5"/>
    <w:rsid w:val="00827903"/>
    <w:rsid w:val="00834141"/>
    <w:rsid w:val="008510D9"/>
    <w:rsid w:val="00877C86"/>
    <w:rsid w:val="00897C7D"/>
    <w:rsid w:val="008B54E7"/>
    <w:rsid w:val="00952537"/>
    <w:rsid w:val="0095612A"/>
    <w:rsid w:val="00996B00"/>
    <w:rsid w:val="00A0554E"/>
    <w:rsid w:val="00A41867"/>
    <w:rsid w:val="00A44A96"/>
    <w:rsid w:val="00AB6304"/>
    <w:rsid w:val="00AF2733"/>
    <w:rsid w:val="00B12D63"/>
    <w:rsid w:val="00B25945"/>
    <w:rsid w:val="00B35400"/>
    <w:rsid w:val="00B43EC1"/>
    <w:rsid w:val="00B63479"/>
    <w:rsid w:val="00B81F15"/>
    <w:rsid w:val="00BA7EF8"/>
    <w:rsid w:val="00C751B8"/>
    <w:rsid w:val="00CF5C82"/>
    <w:rsid w:val="00CF6108"/>
    <w:rsid w:val="00D1243A"/>
    <w:rsid w:val="00D13A47"/>
    <w:rsid w:val="00D43DAF"/>
    <w:rsid w:val="00D55672"/>
    <w:rsid w:val="00D95631"/>
    <w:rsid w:val="00D97707"/>
    <w:rsid w:val="00DC0435"/>
    <w:rsid w:val="00E149CB"/>
    <w:rsid w:val="00E26760"/>
    <w:rsid w:val="00E34513"/>
    <w:rsid w:val="00EA6A86"/>
    <w:rsid w:val="00ED46FA"/>
    <w:rsid w:val="00ED6581"/>
    <w:rsid w:val="00F550D6"/>
    <w:rsid w:val="00F61FDD"/>
    <w:rsid w:val="00F93683"/>
    <w:rsid w:val="00FC035B"/>
    <w:rsid w:val="00FD7C3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CBFC"/>
  <w15:chartTrackingRefBased/>
  <w15:docId w15:val="{1943D45A-6A22-477A-8E88-1A8A93E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EC1"/>
    <w:rPr>
      <w:rFonts w:ascii="Calibri" w:eastAsia="Calibri" w:hAnsi="Calibri" w:cs="Calibri"/>
    </w:rPr>
  </w:style>
  <w:style w:type="paragraph" w:styleId="Heading1">
    <w:name w:val="heading 1"/>
    <w:basedOn w:val="Normal"/>
    <w:next w:val="Normal"/>
    <w:link w:val="Heading1Char"/>
    <w:uiPriority w:val="9"/>
    <w:qFormat/>
    <w:rsid w:val="004F5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4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D46FA"/>
    <w:pPr>
      <w:spacing w:line="240" w:lineRule="auto"/>
    </w:pPr>
    <w:rPr>
      <w:sz w:val="20"/>
      <w:szCs w:val="20"/>
    </w:rPr>
  </w:style>
  <w:style w:type="character" w:customStyle="1" w:styleId="CommentTextChar">
    <w:name w:val="Comment Text Char"/>
    <w:basedOn w:val="DefaultParagraphFont"/>
    <w:link w:val="CommentText"/>
    <w:uiPriority w:val="99"/>
    <w:rsid w:val="00ED46FA"/>
    <w:rPr>
      <w:rFonts w:ascii="Calibri" w:eastAsia="Calibri" w:hAnsi="Calibri" w:cs="Calibri"/>
      <w:sz w:val="20"/>
      <w:szCs w:val="20"/>
    </w:rPr>
  </w:style>
  <w:style w:type="character" w:customStyle="1" w:styleId="Heading2Char">
    <w:name w:val="Heading 2 Char"/>
    <w:basedOn w:val="DefaultParagraphFont"/>
    <w:link w:val="Heading2"/>
    <w:uiPriority w:val="9"/>
    <w:rsid w:val="00ED46F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D46FA"/>
    <w:rPr>
      <w:sz w:val="16"/>
      <w:szCs w:val="16"/>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No Spacing1"/>
    <w:basedOn w:val="Normal"/>
    <w:link w:val="ListParagraphChar"/>
    <w:uiPriority w:val="34"/>
    <w:qFormat/>
    <w:rsid w:val="00ED46FA"/>
    <w:pPr>
      <w:ind w:left="720"/>
      <w:contextualSpacing/>
    </w:p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34"/>
    <w:qFormat/>
    <w:locked/>
    <w:rsid w:val="00ED46FA"/>
    <w:rPr>
      <w:rFonts w:ascii="Calibri" w:eastAsia="Calibri" w:hAnsi="Calibri" w:cs="Calibri"/>
    </w:rPr>
  </w:style>
  <w:style w:type="character" w:customStyle="1" w:styleId="Heading1Char">
    <w:name w:val="Heading 1 Char"/>
    <w:basedOn w:val="DefaultParagraphFont"/>
    <w:link w:val="Heading1"/>
    <w:uiPriority w:val="9"/>
    <w:rsid w:val="004F54E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D7C31"/>
    <w:rPr>
      <w:i/>
      <w:iCs/>
    </w:rPr>
  </w:style>
  <w:style w:type="paragraph" w:styleId="NormalWeb">
    <w:name w:val="Normal (Web)"/>
    <w:basedOn w:val="Normal"/>
    <w:uiPriority w:val="99"/>
    <w:unhideWhenUsed/>
    <w:rsid w:val="00A44A9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fontstyle01">
    <w:name w:val="fontstyle01"/>
    <w:basedOn w:val="DefaultParagraphFont"/>
    <w:rsid w:val="004412C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9071">
      <w:bodyDiv w:val="1"/>
      <w:marLeft w:val="0"/>
      <w:marRight w:val="0"/>
      <w:marTop w:val="0"/>
      <w:marBottom w:val="0"/>
      <w:divBdr>
        <w:top w:val="none" w:sz="0" w:space="0" w:color="auto"/>
        <w:left w:val="none" w:sz="0" w:space="0" w:color="auto"/>
        <w:bottom w:val="none" w:sz="0" w:space="0" w:color="auto"/>
        <w:right w:val="none" w:sz="0" w:space="0" w:color="auto"/>
      </w:divBdr>
    </w:div>
    <w:div w:id="497116394">
      <w:bodyDiv w:val="1"/>
      <w:marLeft w:val="0"/>
      <w:marRight w:val="0"/>
      <w:marTop w:val="0"/>
      <w:marBottom w:val="0"/>
      <w:divBdr>
        <w:top w:val="none" w:sz="0" w:space="0" w:color="auto"/>
        <w:left w:val="none" w:sz="0" w:space="0" w:color="auto"/>
        <w:bottom w:val="none" w:sz="0" w:space="0" w:color="auto"/>
        <w:right w:val="none" w:sz="0" w:space="0" w:color="auto"/>
      </w:divBdr>
      <w:divsChild>
        <w:div w:id="1306425815">
          <w:marLeft w:val="0"/>
          <w:marRight w:val="0"/>
          <w:marTop w:val="0"/>
          <w:marBottom w:val="0"/>
          <w:divBdr>
            <w:top w:val="none" w:sz="0" w:space="0" w:color="auto"/>
            <w:left w:val="none" w:sz="0" w:space="0" w:color="auto"/>
            <w:bottom w:val="none" w:sz="0" w:space="0" w:color="auto"/>
            <w:right w:val="none" w:sz="0" w:space="0" w:color="auto"/>
          </w:divBdr>
        </w:div>
      </w:divsChild>
    </w:div>
    <w:div w:id="551040583">
      <w:bodyDiv w:val="1"/>
      <w:marLeft w:val="0"/>
      <w:marRight w:val="0"/>
      <w:marTop w:val="0"/>
      <w:marBottom w:val="0"/>
      <w:divBdr>
        <w:top w:val="none" w:sz="0" w:space="0" w:color="auto"/>
        <w:left w:val="none" w:sz="0" w:space="0" w:color="auto"/>
        <w:bottom w:val="none" w:sz="0" w:space="0" w:color="auto"/>
        <w:right w:val="none" w:sz="0" w:space="0" w:color="auto"/>
      </w:divBdr>
    </w:div>
    <w:div w:id="16818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Stoimenova, Slagjana</dc:creator>
  <cp:keywords/>
  <dc:description/>
  <cp:lastModifiedBy>Stoimenova, Slagjana</cp:lastModifiedBy>
  <cp:revision>29</cp:revision>
  <dcterms:created xsi:type="dcterms:W3CDTF">2023-09-22T15:25:00Z</dcterms:created>
  <dcterms:modified xsi:type="dcterms:W3CDTF">2023-09-26T07:29:00Z</dcterms:modified>
</cp:coreProperties>
</file>